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87815" w:rsidRDefault="00BE1511" w:rsidP="00246B36">
      <w:pPr>
        <w:jc w:val="center"/>
        <w:rPr>
          <w:rFonts w:ascii="Arial" w:hAnsi="Arial" w:cs="Arial"/>
          <w:b/>
          <w:sz w:val="22"/>
          <w:szCs w:val="22"/>
        </w:rPr>
      </w:pPr>
      <w:r>
        <w:rPr>
          <w:rFonts w:ascii="Arial" w:hAnsi="Arial" w:cs="Arial"/>
          <w:b/>
          <w:sz w:val="22"/>
          <w:szCs w:val="22"/>
          <w:lang w:val="sr-Cyrl-RS"/>
        </w:rPr>
        <w:t>ТРЕЋА</w:t>
      </w:r>
      <w:r w:rsidR="00C6690C" w:rsidRPr="00787815">
        <w:rPr>
          <w:rFonts w:ascii="Arial" w:hAnsi="Arial" w:cs="Arial"/>
          <w:b/>
          <w:sz w:val="22"/>
          <w:szCs w:val="22"/>
        </w:rPr>
        <w:t xml:space="preserve"> ИЗМЕНА</w:t>
      </w:r>
    </w:p>
    <w:p w:rsidR="00C6690C" w:rsidRPr="00787815" w:rsidRDefault="00C6690C" w:rsidP="00F717AF">
      <w:pPr>
        <w:rPr>
          <w:rFonts w:ascii="Arial" w:hAnsi="Arial" w:cs="Arial"/>
          <w:sz w:val="22"/>
          <w:szCs w:val="22"/>
        </w:rPr>
      </w:pPr>
    </w:p>
    <w:p w:rsidR="00C6690C" w:rsidRPr="00787815" w:rsidRDefault="00C6690C" w:rsidP="00F717AF">
      <w:pPr>
        <w:pStyle w:val="BodyText"/>
        <w:jc w:val="center"/>
        <w:rPr>
          <w:rFonts w:ascii="Arial" w:hAnsi="Arial" w:cs="Arial"/>
          <w:sz w:val="22"/>
          <w:szCs w:val="22"/>
        </w:rPr>
      </w:pPr>
      <w:r w:rsidRPr="00787815">
        <w:rPr>
          <w:rFonts w:ascii="Arial" w:hAnsi="Arial" w:cs="Arial"/>
          <w:sz w:val="22"/>
          <w:szCs w:val="22"/>
        </w:rPr>
        <w:t>КОНКУРСНЕ ДОКУМЕНТАЦИЈЕ</w:t>
      </w:r>
    </w:p>
    <w:p w:rsidR="00C6690C" w:rsidRPr="00787815" w:rsidRDefault="00C6690C" w:rsidP="00F717AF">
      <w:pPr>
        <w:pStyle w:val="BodyText"/>
        <w:rPr>
          <w:rFonts w:ascii="Arial" w:hAnsi="Arial" w:cs="Arial"/>
          <w:sz w:val="22"/>
          <w:szCs w:val="22"/>
        </w:rPr>
      </w:pPr>
    </w:p>
    <w:p w:rsidR="00787815" w:rsidRPr="00787815" w:rsidRDefault="00C6690C" w:rsidP="00787815">
      <w:pPr>
        <w:suppressAutoHyphens w:val="0"/>
        <w:ind w:left="426" w:right="284"/>
        <w:jc w:val="center"/>
        <w:rPr>
          <w:rFonts w:ascii="Arial" w:eastAsia="Calibri" w:hAnsi="Arial" w:cs="Arial"/>
          <w:color w:val="000000"/>
          <w:sz w:val="22"/>
          <w:szCs w:val="22"/>
          <w:lang w:eastAsia="en-US"/>
        </w:rPr>
      </w:pPr>
      <w:r w:rsidRPr="00787815">
        <w:rPr>
          <w:rFonts w:ascii="Arial" w:hAnsi="Arial" w:cs="Arial"/>
          <w:sz w:val="22"/>
          <w:szCs w:val="22"/>
        </w:rPr>
        <w:t>ЗА ЈАВНУ НАБАВКУ РАДОВА</w:t>
      </w:r>
      <w:r w:rsidRPr="00295D8C">
        <w:rPr>
          <w:rFonts w:ascii="Arial" w:hAnsi="Arial" w:cs="Arial"/>
          <w:sz w:val="22"/>
          <w:szCs w:val="22"/>
          <w:lang w:val="ru-RU"/>
        </w:rPr>
        <w:t xml:space="preserve"> </w:t>
      </w:r>
      <w:r w:rsidR="00787815" w:rsidRPr="00787815">
        <w:rPr>
          <w:rFonts w:ascii="Arial" w:eastAsia="Calibri" w:hAnsi="Arial" w:cs="Arial"/>
          <w:color w:val="000000"/>
          <w:sz w:val="22"/>
          <w:szCs w:val="22"/>
          <w:lang w:eastAsia="en-US"/>
        </w:rPr>
        <w:t>“Реконструкција надземног дела склоништа у техничку архиву и адаптација просторија у бараци инвестиција (бивша архива) у канцеларијски простор“</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87815" w:rsidRDefault="00C6690C" w:rsidP="00F717AF">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87815">
        <w:rPr>
          <w:rFonts w:ascii="Arial" w:hAnsi="Arial" w:cs="Arial"/>
          <w:sz w:val="22"/>
          <w:szCs w:val="22"/>
          <w:lang w:val="sr-Latn-RS"/>
        </w:rPr>
        <w:t>3000/0839/2015 (102111/2015)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287F13">
        <w:rPr>
          <w:rFonts w:ascii="Arial" w:hAnsi="Arial" w:cs="Arial"/>
          <w:sz w:val="22"/>
          <w:szCs w:val="22"/>
          <w:lang w:val="sr-Latn-RS"/>
        </w:rPr>
        <w:t>03.01-18459/7-2016</w:t>
      </w:r>
      <w:r w:rsidRPr="00295D8C">
        <w:rPr>
          <w:rFonts w:ascii="Arial" w:hAnsi="Arial" w:cs="Arial"/>
          <w:sz w:val="22"/>
          <w:szCs w:val="22"/>
        </w:rPr>
        <w:t xml:space="preserve"> од </w:t>
      </w:r>
      <w:r w:rsidR="00287F13">
        <w:rPr>
          <w:rFonts w:ascii="Arial" w:hAnsi="Arial" w:cs="Arial"/>
          <w:sz w:val="22"/>
          <w:szCs w:val="22"/>
          <w:lang w:val="sr-Latn-RS"/>
        </w:rPr>
        <w:t>12.02</w:t>
      </w:r>
      <w:r w:rsidR="00C97EC0">
        <w:rPr>
          <w:rFonts w:ascii="Arial" w:hAnsi="Arial" w:cs="Arial"/>
          <w:sz w:val="22"/>
          <w:szCs w:val="22"/>
          <w:lang w:val="sr-Latn-RS"/>
        </w:rPr>
        <w:t>.2016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787815"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87815" w:rsidP="00F717AF">
      <w:pPr>
        <w:jc w:val="center"/>
        <w:rPr>
          <w:rFonts w:ascii="Arial" w:hAnsi="Arial" w:cs="Arial"/>
          <w:i/>
          <w:sz w:val="22"/>
          <w:szCs w:val="22"/>
        </w:rPr>
      </w:pPr>
      <w:r>
        <w:rPr>
          <w:rFonts w:ascii="Arial" w:hAnsi="Arial" w:cs="Arial"/>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јануар </w:t>
      </w:r>
      <w:r w:rsidR="00E07723" w:rsidRPr="00295D8C">
        <w:rPr>
          <w:rFonts w:ascii="Arial" w:hAnsi="Arial" w:cs="Arial"/>
          <w:i/>
          <w:sz w:val="22"/>
          <w:szCs w:val="22"/>
        </w:rPr>
        <w:t>20</w:t>
      </w:r>
      <w:r>
        <w:rPr>
          <w:rFonts w:ascii="Arial" w:hAnsi="Arial" w:cs="Arial"/>
          <w:i/>
          <w:sz w:val="22"/>
          <w:szCs w:val="22"/>
          <w:lang w:val="sr-Cyrl-RS"/>
        </w:rPr>
        <w:t>1</w:t>
      </w:r>
      <w:r w:rsidR="00BB1132">
        <w:rPr>
          <w:rFonts w:ascii="Arial" w:hAnsi="Arial" w:cs="Arial"/>
          <w:i/>
          <w:sz w:val="22"/>
          <w:szCs w:val="22"/>
          <w:lang w:val="sr-Latn-RS"/>
        </w:rPr>
        <w:t>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651BB2" w:rsidRDefault="00C6690C" w:rsidP="00F717AF">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991128"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87815" w:rsidRPr="00787815">
        <w:rPr>
          <w:rFonts w:ascii="Arial" w:eastAsia="Calibri" w:hAnsi="Arial" w:cs="Arial"/>
          <w:color w:val="000000"/>
          <w:sz w:val="22"/>
          <w:szCs w:val="22"/>
          <w:lang w:eastAsia="en-US"/>
        </w:rPr>
        <w:t>“Реконструкција надземног дела склоништа у техничку архиву и адаптација просторија у бараци инвестиција (бивша архива) у канцеларијски простор“</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620C43" w:rsidRDefault="00C6690C" w:rsidP="00620C43">
      <w:pPr>
        <w:jc w:val="center"/>
        <w:rPr>
          <w:rFonts w:ascii="Arial" w:hAnsi="Arial" w:cs="Arial"/>
          <w:sz w:val="22"/>
          <w:szCs w:val="22"/>
          <w:lang w:val="sr-Cyrl-RS"/>
        </w:rPr>
      </w:pPr>
      <w:r w:rsidRPr="00295D8C">
        <w:rPr>
          <w:rFonts w:ascii="Arial" w:hAnsi="Arial" w:cs="Arial"/>
          <w:sz w:val="22"/>
          <w:szCs w:val="22"/>
        </w:rPr>
        <w:t>1.</w:t>
      </w:r>
    </w:p>
    <w:p w:rsidR="00901BEA" w:rsidRDefault="00787815" w:rsidP="00787815">
      <w:pPr>
        <w:jc w:val="both"/>
        <w:rPr>
          <w:rFonts w:ascii="Arial" w:hAnsi="Arial" w:cs="Arial"/>
          <w:sz w:val="22"/>
          <w:szCs w:val="22"/>
          <w:lang w:val="sr-Cyrl-RS"/>
        </w:rPr>
      </w:pPr>
      <w:r w:rsidRPr="00952480">
        <w:rPr>
          <w:rFonts w:ascii="Arial" w:hAnsi="Arial" w:cs="Arial"/>
          <w:sz w:val="22"/>
          <w:szCs w:val="22"/>
        </w:rPr>
        <w:t>Тачка</w:t>
      </w:r>
      <w:r w:rsidR="00952480" w:rsidRPr="00952480">
        <w:rPr>
          <w:rFonts w:ascii="Arial" w:hAnsi="Arial" w:cs="Arial"/>
          <w:sz w:val="22"/>
          <w:szCs w:val="22"/>
          <w:lang w:val="ru-RU"/>
        </w:rPr>
        <w:t xml:space="preserve"> </w:t>
      </w:r>
      <w:r w:rsidR="00BE1511">
        <w:rPr>
          <w:rFonts w:ascii="Arial" w:hAnsi="Arial" w:cs="Arial"/>
          <w:sz w:val="22"/>
          <w:szCs w:val="22"/>
          <w:lang w:val="ru-RU"/>
        </w:rPr>
        <w:t>14</w:t>
      </w:r>
      <w:r w:rsidR="00952480"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00BE1511">
        <w:rPr>
          <w:rFonts w:ascii="Arial" w:hAnsi="Arial" w:cs="Arial"/>
          <w:sz w:val="22"/>
          <w:szCs w:val="22"/>
          <w:lang w:val="sr-Cyrl-RS"/>
        </w:rPr>
        <w:t xml:space="preserve"> „</w:t>
      </w:r>
      <w:r w:rsidR="00BE1511" w:rsidRPr="00BE1511">
        <w:rPr>
          <w:rFonts w:ascii="Arial" w:eastAsia="TimesNewRomanPSMT" w:hAnsi="Arial" w:cs="Arial"/>
          <w:color w:val="000000"/>
          <w:sz w:val="22"/>
          <w:szCs w:val="22"/>
          <w:lang w:val="en-US" w:eastAsia="en-US"/>
        </w:rPr>
        <w:t>Т</w:t>
      </w:r>
      <w:r w:rsidR="00BE1511">
        <w:rPr>
          <w:rFonts w:ascii="Arial" w:eastAsia="TimesNewRomanPSMT" w:hAnsi="Arial" w:cs="Arial"/>
          <w:color w:val="000000"/>
          <w:sz w:val="22"/>
          <w:szCs w:val="22"/>
          <w:lang w:val="sr-Cyrl-RS" w:eastAsia="en-US"/>
        </w:rPr>
        <w:t>ехничке спецификације са предмером</w:t>
      </w:r>
      <w:r w:rsidR="00BE1511">
        <w:rPr>
          <w:rFonts w:ascii="Arial" w:hAnsi="Arial" w:cs="Arial"/>
          <w:sz w:val="22"/>
          <w:szCs w:val="22"/>
          <w:lang w:val="sr-Cyrl-RS"/>
        </w:rPr>
        <w:t xml:space="preserve">“, под </w:t>
      </w:r>
      <w:r w:rsidR="00952480" w:rsidRPr="00952480">
        <w:rPr>
          <w:rFonts w:ascii="Arial" w:hAnsi="Arial" w:cs="Arial"/>
          <w:sz w:val="22"/>
          <w:szCs w:val="22"/>
          <w:lang w:val="sr-Cyrl-RS"/>
        </w:rPr>
        <w:t>редни</w:t>
      </w:r>
      <w:r w:rsidR="00BE1511">
        <w:rPr>
          <w:rFonts w:ascii="Arial" w:hAnsi="Arial" w:cs="Arial"/>
          <w:sz w:val="22"/>
          <w:szCs w:val="22"/>
          <w:lang w:val="sr-Cyrl-RS"/>
        </w:rPr>
        <w:t>м</w:t>
      </w:r>
      <w:r w:rsidR="00952480" w:rsidRPr="00952480">
        <w:rPr>
          <w:rFonts w:ascii="Arial" w:hAnsi="Arial" w:cs="Arial"/>
          <w:sz w:val="22"/>
          <w:szCs w:val="22"/>
          <w:lang w:val="sr-Cyrl-RS"/>
        </w:rPr>
        <w:t xml:space="preserve"> број</w:t>
      </w:r>
      <w:r w:rsidR="00BE1511">
        <w:rPr>
          <w:rFonts w:ascii="Arial" w:hAnsi="Arial" w:cs="Arial"/>
          <w:sz w:val="22"/>
          <w:szCs w:val="22"/>
          <w:lang w:val="sr-Cyrl-RS"/>
        </w:rPr>
        <w:t>ем</w:t>
      </w:r>
      <w:r w:rsidR="00952480" w:rsidRPr="00952480">
        <w:rPr>
          <w:rFonts w:ascii="Arial" w:hAnsi="Arial" w:cs="Arial"/>
          <w:sz w:val="22"/>
          <w:szCs w:val="22"/>
          <w:lang w:val="sr-Cyrl-RS"/>
        </w:rPr>
        <w:t xml:space="preserve"> </w:t>
      </w:r>
      <w:r w:rsidR="00BE1511">
        <w:rPr>
          <w:rFonts w:ascii="Arial" w:hAnsi="Arial" w:cs="Arial"/>
          <w:sz w:val="22"/>
          <w:szCs w:val="22"/>
          <w:lang w:val="sr-Cyrl-RS"/>
        </w:rPr>
        <w:t xml:space="preserve">5. </w:t>
      </w:r>
      <w:r w:rsidR="00BE1511" w:rsidRPr="00BE1511">
        <w:rPr>
          <w:rFonts w:ascii="Arial" w:hAnsi="Arial" w:cs="Arial"/>
          <w:sz w:val="22"/>
          <w:szCs w:val="22"/>
          <w:lang w:val="sr-Cyrl-RS"/>
        </w:rPr>
        <w:t>ELEKTROENERGETSKE INSTALACIJE</w:t>
      </w:r>
      <w:r w:rsidR="00901BEA">
        <w:rPr>
          <w:rFonts w:ascii="Arial" w:hAnsi="Arial" w:cs="Arial"/>
          <w:sz w:val="22"/>
          <w:szCs w:val="22"/>
          <w:lang w:val="sr-Latn-RS"/>
        </w:rPr>
        <w:t xml:space="preserve"> </w:t>
      </w:r>
      <w:r w:rsidR="00901BEA">
        <w:rPr>
          <w:rFonts w:ascii="Arial" w:hAnsi="Arial" w:cs="Arial"/>
          <w:sz w:val="22"/>
          <w:szCs w:val="22"/>
          <w:lang w:val="sr-Cyrl-RS"/>
        </w:rPr>
        <w:t xml:space="preserve">и 6. </w:t>
      </w:r>
      <w:r w:rsidR="00901BEA" w:rsidRPr="00901BEA">
        <w:rPr>
          <w:rFonts w:ascii="Arial" w:hAnsi="Arial" w:cs="Arial"/>
          <w:sz w:val="22"/>
          <w:szCs w:val="22"/>
        </w:rPr>
        <w:t xml:space="preserve">TELEKOMUNIKACIONE I SIGNALNE INSTALACIJE </w:t>
      </w:r>
      <w:r w:rsidRPr="00952480">
        <w:rPr>
          <w:rFonts w:ascii="Arial" w:hAnsi="Arial" w:cs="Arial"/>
          <w:sz w:val="22"/>
          <w:szCs w:val="22"/>
        </w:rPr>
        <w:t>мења</w:t>
      </w:r>
      <w:r w:rsidR="00901BEA">
        <w:rPr>
          <w:rFonts w:ascii="Arial" w:hAnsi="Arial" w:cs="Arial"/>
          <w:sz w:val="22"/>
          <w:szCs w:val="22"/>
          <w:lang w:val="sr-Cyrl-RS"/>
        </w:rPr>
        <w:t>ју</w:t>
      </w:r>
      <w:r w:rsidRPr="00952480">
        <w:rPr>
          <w:rFonts w:ascii="Arial" w:hAnsi="Arial" w:cs="Arial"/>
          <w:sz w:val="22"/>
          <w:szCs w:val="22"/>
        </w:rPr>
        <w:t xml:space="preserve"> се и глас</w:t>
      </w:r>
      <w:r w:rsidR="00901BEA">
        <w:rPr>
          <w:rFonts w:ascii="Arial" w:hAnsi="Arial" w:cs="Arial"/>
          <w:sz w:val="22"/>
          <w:szCs w:val="22"/>
          <w:lang w:val="sr-Cyrl-RS"/>
        </w:rPr>
        <w:t>е</w:t>
      </w:r>
      <w:r w:rsidRPr="00952480">
        <w:rPr>
          <w:rFonts w:ascii="Arial" w:hAnsi="Arial" w:cs="Arial"/>
          <w:sz w:val="22"/>
          <w:szCs w:val="22"/>
        </w:rPr>
        <w:t>:</w:t>
      </w:r>
    </w:p>
    <w:p w:rsidR="00787815" w:rsidRDefault="00787815" w:rsidP="00787815">
      <w:pPr>
        <w:jc w:val="both"/>
        <w:rPr>
          <w:rFonts w:ascii="Arial" w:hAnsi="Arial" w:cs="Arial"/>
          <w:sz w:val="22"/>
          <w:szCs w:val="22"/>
          <w:lang w:val="sr-Cyrl-RS"/>
        </w:rPr>
      </w:pPr>
      <w:r w:rsidRPr="00952480">
        <w:rPr>
          <w:rFonts w:ascii="Arial" w:hAnsi="Arial" w:cs="Arial"/>
          <w:sz w:val="22"/>
          <w:szCs w:val="22"/>
        </w:rPr>
        <w:t xml:space="preserve"> </w:t>
      </w:r>
    </w:p>
    <w:p w:rsidR="00BE1511" w:rsidRPr="00BE1511" w:rsidRDefault="00BE1511" w:rsidP="00BE1511">
      <w:pPr>
        <w:jc w:val="both"/>
        <w:rPr>
          <w:rFonts w:ascii="Arial" w:hAnsi="Arial" w:cs="Arial"/>
          <w:b/>
          <w:bCs/>
          <w:sz w:val="22"/>
          <w:szCs w:val="22"/>
          <w:lang w:val="fr-FR"/>
        </w:rPr>
      </w:pPr>
      <w:r w:rsidRPr="00BE1511">
        <w:rPr>
          <w:rFonts w:ascii="Arial" w:hAnsi="Arial" w:cs="Arial"/>
          <w:b/>
          <w:bCs/>
          <w:sz w:val="22"/>
          <w:szCs w:val="22"/>
          <w:lang w:val="sr-Cyrl-RS"/>
        </w:rPr>
        <w:t xml:space="preserve">5. </w:t>
      </w:r>
      <w:r w:rsidRPr="00BE1511">
        <w:rPr>
          <w:rFonts w:ascii="Arial" w:hAnsi="Arial" w:cs="Arial"/>
          <w:b/>
          <w:bCs/>
          <w:sz w:val="22"/>
          <w:szCs w:val="22"/>
          <w:u w:val="single"/>
          <w:lang w:val="fr-FR"/>
        </w:rPr>
        <w:t>ELEKTROENERGETSKE INSTALACIJE</w:t>
      </w:r>
    </w:p>
    <w:p w:rsidR="00BE1511" w:rsidRPr="00BE1511" w:rsidRDefault="00BE1511" w:rsidP="00BE1511">
      <w:pPr>
        <w:jc w:val="both"/>
        <w:rPr>
          <w:rFonts w:ascii="Arial" w:hAnsi="Arial" w:cs="Arial"/>
          <w:sz w:val="22"/>
          <w:szCs w:val="22"/>
          <w:lang w:val="fr-FR"/>
        </w:rPr>
      </w:pPr>
    </w:p>
    <w:p w:rsidR="00BE1511" w:rsidRPr="00651BB2" w:rsidRDefault="00BE1511" w:rsidP="00BE1511">
      <w:pPr>
        <w:jc w:val="both"/>
        <w:rPr>
          <w:rFonts w:ascii="Arial" w:hAnsi="Arial" w:cs="Arial"/>
          <w:b/>
          <w:sz w:val="22"/>
          <w:szCs w:val="22"/>
          <w:lang w:val="sr-Cyrl-RS"/>
        </w:rPr>
      </w:pPr>
      <w:r w:rsidRPr="00BE1511">
        <w:rPr>
          <w:rFonts w:ascii="Arial" w:hAnsi="Arial" w:cs="Arial"/>
          <w:b/>
          <w:sz w:val="22"/>
          <w:szCs w:val="22"/>
          <w:lang w:val="es-ES"/>
        </w:rPr>
        <w:t>Svetiljke</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es-ES"/>
        </w:rPr>
        <w:t xml:space="preserve">U cenu svetiljki uračunat je i sav potreban materijal za pričvršćivanje, uvođenje instalacionih vodova i povezivanje. Sve fluo svetiljke su sa predspojnim uređajem u spoju koji je naznečen na njenoj specifikaciji (ako nije ništa naznačeno onda je spoj induktivan). </w:t>
      </w:r>
      <w:r w:rsidRPr="00BE1511">
        <w:rPr>
          <w:rFonts w:ascii="Arial" w:hAnsi="Arial" w:cs="Arial"/>
          <w:sz w:val="22"/>
          <w:szCs w:val="22"/>
          <w:lang w:val="nb-NO"/>
        </w:rPr>
        <w:t>Svetiljke idu u kompletu sa predspojnim uređajem i svetlosnim izvorom. Za svaku svetiljku dat je opis, proizvođač i tip,a izvođač može ugraditi svetiljke drugog proizvođača ali da one po karakteristikama odgovaraju datim opisima.</w:t>
      </w:r>
    </w:p>
    <w:p w:rsidR="00BE1511" w:rsidRPr="00BE1511" w:rsidRDefault="00BE1511" w:rsidP="00BE1511">
      <w:pPr>
        <w:jc w:val="both"/>
        <w:rPr>
          <w:rFonts w:ascii="Arial" w:hAnsi="Arial" w:cs="Arial"/>
          <w:sz w:val="22"/>
          <w:szCs w:val="22"/>
          <w:lang w:val="sr-Cyrl-RS"/>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Isporuka i ugradnja fluo svetiljke br.1, 1x28W</w:t>
      </w:r>
      <w:r w:rsidRPr="00BE1511">
        <w:rPr>
          <w:rFonts w:ascii="Arial" w:hAnsi="Arial" w:cs="Arial"/>
          <w:sz w:val="22"/>
          <w:szCs w:val="22"/>
          <w:lang w:val="nb-NO"/>
        </w:rPr>
        <w:t xml:space="preserve"> sa zaštitnom</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maskom za ugradnju u spušten plafon, sa kućištem od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ekstrudiranog aluminijuma u beloj boji i sa predspojnim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uređajem u kompenzovanom spoju.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Tip svetiljke "Insert M DO-Buck"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46x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w:t>
      </w: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Isporuka i ugradnja fluo svetiljke br.2, 1x28W</w:t>
      </w:r>
      <w:r w:rsidRPr="00BE1511">
        <w:rPr>
          <w:rFonts w:ascii="Arial" w:hAnsi="Arial" w:cs="Arial"/>
          <w:sz w:val="22"/>
          <w:szCs w:val="22"/>
          <w:lang w:val="nb-NO"/>
        </w:rPr>
        <w:t xml:space="preserve"> sa zaštitnom</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maskom za ugradnju na zid, sa kućištem od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ekstrudiranog aluminijuma u beloj boji i sa predspojnim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uređajem u kompenzovanom spoju.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 Tip svetiljke "Vespa-Buck"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11x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Isporuka i ugradnja fluo svetiljke br.3, 1x28W</w:t>
      </w:r>
      <w:r w:rsidRPr="00BE1511">
        <w:rPr>
          <w:rFonts w:ascii="Arial" w:hAnsi="Arial" w:cs="Arial"/>
          <w:sz w:val="22"/>
          <w:szCs w:val="22"/>
          <w:lang w:val="nb-NO"/>
        </w:rPr>
        <w:t xml:space="preserve"> sa zaštitnom</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maskom za ugradnju na zid, sa kućištem od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ekstrudiranog aluminijuma u beloj boji i sa predspojnim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 uređajem u kompenzovanom spoju.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 Tip svetiljke "Vespa IP 54-Buck"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1x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 xml:space="preserve">Isporuka i ugradnja fluo svetiljke br.4, 4x14W </w:t>
      </w:r>
      <w:r w:rsidRPr="00BE1511">
        <w:rPr>
          <w:rFonts w:ascii="Arial" w:hAnsi="Arial" w:cs="Arial"/>
          <w:sz w:val="22"/>
          <w:szCs w:val="22"/>
          <w:lang w:val="nb-NO"/>
        </w:rPr>
        <w:t xml:space="preserve">za ugradnju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u spušten plafon, od ekstrudiranog aluminijuma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i dekorativnim rasterom.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Tip svetiljke "Arco DL-Buck"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8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 xml:space="preserve">Isporuka i ugradnja fluo svetiljke br.5, 1x14W </w:t>
      </w:r>
      <w:r w:rsidRPr="00BE1511">
        <w:rPr>
          <w:rFonts w:ascii="Arial" w:hAnsi="Arial" w:cs="Arial"/>
          <w:sz w:val="22"/>
          <w:szCs w:val="22"/>
          <w:lang w:val="nb-NO"/>
        </w:rPr>
        <w:t xml:space="preserve">za ugradnju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na zid iznad ogledala, sa zaštitnom maskom.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Tip svetiljke "Tube MG-Buck"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1 x </w:t>
      </w:r>
      <w:r w:rsidRPr="00BE1511">
        <w:rPr>
          <w:rFonts w:ascii="Arial" w:hAnsi="Arial" w:cs="Arial"/>
          <w:sz w:val="22"/>
          <w:szCs w:val="22"/>
          <w:lang w:val="sr-Cyrl-RS"/>
        </w:rPr>
        <w:t>__</w:t>
      </w:r>
      <w:r w:rsidRPr="00BE1511">
        <w:rPr>
          <w:rFonts w:ascii="Arial" w:hAnsi="Arial" w:cs="Arial"/>
          <w:sz w:val="22"/>
          <w:szCs w:val="22"/>
          <w:lang w:val="nb-NO"/>
        </w:rPr>
        <w:t xml:space="preserve"> =</w:t>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Isporuka i ugradnja energetski efikasne svetiljke br.6,  1x22W</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okrugla, za ugradnju u plafon.</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Tip svetiljke "Luna/CDP-Buck"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1 x</w:t>
      </w:r>
      <w:r w:rsidRPr="00BE1511">
        <w:rPr>
          <w:rFonts w:ascii="Arial" w:hAnsi="Arial" w:cs="Arial"/>
          <w:sz w:val="22"/>
          <w:szCs w:val="22"/>
          <w:lang w:val="sr-Cyrl-RS"/>
        </w:rPr>
        <w:t xml:space="preserve"> __</w:t>
      </w:r>
      <w:r w:rsidRPr="00BE1511">
        <w:rPr>
          <w:rFonts w:ascii="Arial" w:hAnsi="Arial" w:cs="Arial"/>
          <w:sz w:val="22"/>
          <w:szCs w:val="22"/>
          <w:lang w:val="nb-NO"/>
        </w:rPr>
        <w:t xml:space="preserve">  =</w:t>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sz w:val="22"/>
          <w:szCs w:val="22"/>
          <w:lang w:val="nb-NO"/>
        </w:rPr>
      </w:pPr>
      <w:r w:rsidRPr="00BE1511">
        <w:rPr>
          <w:rFonts w:ascii="Arial" w:hAnsi="Arial" w:cs="Arial"/>
          <w:b/>
          <w:sz w:val="22"/>
          <w:szCs w:val="22"/>
          <w:lang w:val="nb-NO"/>
        </w:rPr>
        <w:t xml:space="preserve">Isporuka i ugradnja fluo svetiljke br.7, 4x14W </w:t>
      </w:r>
      <w:r w:rsidRPr="00BE1511">
        <w:rPr>
          <w:rFonts w:ascii="Arial" w:hAnsi="Arial" w:cs="Arial"/>
          <w:sz w:val="22"/>
          <w:szCs w:val="22"/>
          <w:lang w:val="nb-NO"/>
        </w:rPr>
        <w:t xml:space="preserve">za nadgradnju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na plafon, od ekstrudiranog aluminijuma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sa visokotransparentnim difuzorom.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Tip svetiljke "Luna Q CDP/C-Buck"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 xml:space="preserve">4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numPr>
          <w:ilvl w:val="0"/>
          <w:numId w:val="24"/>
        </w:numPr>
        <w:jc w:val="both"/>
        <w:rPr>
          <w:rFonts w:ascii="Arial" w:hAnsi="Arial" w:cs="Arial"/>
          <w:b/>
          <w:sz w:val="22"/>
          <w:szCs w:val="22"/>
          <w:lang w:val="nb-NO"/>
        </w:rPr>
      </w:pPr>
      <w:r w:rsidRPr="00BE1511">
        <w:rPr>
          <w:rFonts w:ascii="Arial" w:hAnsi="Arial" w:cs="Arial"/>
          <w:b/>
          <w:sz w:val="22"/>
          <w:szCs w:val="22"/>
          <w:lang w:val="nb-NO"/>
        </w:rPr>
        <w:t>Isporuka i ugradnja protivpanične fluo svetiljke br.8, 1x8W</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za ugradnju na zid iznad vrata, sa indikacijom punjenja,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autonomije 1h sa NI-Cd baterijom, sa spojem za pripravan,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trajan i kombinovan rad.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Tip svetiljke "Legrand S8-Legrand" ili slična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kom</w:t>
      </w:r>
      <w:r w:rsidRPr="00BE1511">
        <w:rPr>
          <w:rFonts w:ascii="Arial" w:hAnsi="Arial" w:cs="Arial"/>
          <w:sz w:val="22"/>
          <w:szCs w:val="22"/>
          <w:lang w:val="nb-NO"/>
        </w:rPr>
        <w:tab/>
        <w:t>9 x</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b/>
          <w:sz w:val="22"/>
          <w:szCs w:val="22"/>
          <w:lang w:val="nb-NO"/>
        </w:rPr>
        <w:t>Instalacioni materijal i pribor</w:t>
      </w:r>
    </w:p>
    <w:p w:rsidR="00BE1511" w:rsidRPr="00BE1511" w:rsidRDefault="00BE1511" w:rsidP="00BE1511">
      <w:pPr>
        <w:jc w:val="both"/>
        <w:rPr>
          <w:rFonts w:ascii="Arial" w:hAnsi="Arial" w:cs="Arial"/>
          <w:b/>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b/>
          <w:sz w:val="22"/>
          <w:szCs w:val="22"/>
          <w:lang w:val="nb-NO"/>
        </w:rPr>
        <w:tab/>
      </w:r>
      <w:r w:rsidRPr="00BE1511">
        <w:rPr>
          <w:rFonts w:ascii="Arial" w:hAnsi="Arial" w:cs="Arial"/>
          <w:sz w:val="22"/>
          <w:szCs w:val="22"/>
          <w:lang w:val="nb-NO"/>
        </w:rPr>
        <w:t>Isporuka i postavljanje instalacionog materijala, komplet isporuka i ugradnja svog potrebnog nespecificiranog materijala, štemovanje zidova, izvođenje svih veza na priključcima instalacionih elemenata. Sve prekidače postaviti na 1.5 m od poda, a priključnice na 0.5 m.</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w:t>
      </w:r>
      <w:r w:rsidRPr="00BE1511">
        <w:rPr>
          <w:rFonts w:ascii="Arial" w:hAnsi="Arial" w:cs="Arial"/>
          <w:b/>
          <w:sz w:val="22"/>
          <w:szCs w:val="22"/>
          <w:lang w:val="nb-NO"/>
        </w:rPr>
        <w:t xml:space="preserve">     Isporuka i ugradnja spratne table</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Plastična spratna tabla za ugradnju na zid, za 24 osigurača,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sa dve DIN šine, tip Metalka Majur MUT 24</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kom</w:t>
      </w:r>
      <w:r w:rsidRPr="00BE1511">
        <w:rPr>
          <w:rFonts w:ascii="Arial" w:hAnsi="Arial" w:cs="Arial"/>
          <w:sz w:val="22"/>
          <w:szCs w:val="22"/>
          <w:lang w:val="nb-NO"/>
        </w:rPr>
        <w:tab/>
        <w:t xml:space="preserve">1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2</w:t>
      </w:r>
      <w:r w:rsidRPr="00BE1511">
        <w:rPr>
          <w:rFonts w:ascii="Arial" w:hAnsi="Arial" w:cs="Arial"/>
          <w:b/>
          <w:sz w:val="22"/>
          <w:szCs w:val="22"/>
          <w:lang w:val="nb-NO"/>
        </w:rPr>
        <w:t xml:space="preserve">     Isporuka i ugradnja prekidača </w:t>
      </w:r>
      <w:r w:rsidRPr="00BE1511">
        <w:rPr>
          <w:rFonts w:ascii="Arial" w:hAnsi="Arial" w:cs="Arial"/>
          <w:sz w:val="22"/>
          <w:szCs w:val="22"/>
          <w:lang w:val="nb-NO"/>
        </w:rPr>
        <w:t>za ugradnju u zid</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Prekidač običan, jednopolni, 10A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kom</w:t>
      </w:r>
      <w:r w:rsidRPr="00BE1511">
        <w:rPr>
          <w:rFonts w:ascii="Arial" w:hAnsi="Arial" w:cs="Arial"/>
          <w:sz w:val="22"/>
          <w:szCs w:val="22"/>
          <w:lang w:val="nb-NO"/>
        </w:rPr>
        <w:tab/>
        <w:t xml:space="preserve">6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Prekidač običan, dvopolni, 10A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Prekidač serijski, 10A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kom</w:t>
      </w:r>
      <w:r w:rsidRPr="00BE1511">
        <w:rPr>
          <w:rFonts w:ascii="Arial" w:hAnsi="Arial" w:cs="Arial"/>
          <w:sz w:val="22"/>
          <w:szCs w:val="22"/>
          <w:lang w:val="nb-NO"/>
        </w:rPr>
        <w:tab/>
        <w:t xml:space="preserve">2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t xml:space="preserve">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Prekidač naizmenični, 10A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kom</w:t>
      </w:r>
      <w:r w:rsidRPr="00BE1511">
        <w:rPr>
          <w:rFonts w:ascii="Arial" w:hAnsi="Arial" w:cs="Arial"/>
          <w:sz w:val="22"/>
          <w:szCs w:val="22"/>
          <w:lang w:val="nb-NO"/>
        </w:rPr>
        <w:tab/>
        <w:t xml:space="preserve">2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t xml:space="preserve">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Isporuka i ugradnja na zid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grebenastog prekidača u kućištu IP 54, K16(16A)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*kom</w:t>
      </w:r>
      <w:r w:rsidRPr="00BE1511">
        <w:rPr>
          <w:rFonts w:ascii="Arial" w:hAnsi="Arial" w:cs="Arial"/>
          <w:sz w:val="22"/>
          <w:szCs w:val="22"/>
          <w:lang w:val="nb-NO"/>
        </w:rPr>
        <w:tab/>
        <w:t xml:space="preserve">5 x  </w:t>
      </w:r>
      <w:r w:rsidRPr="00BE1511">
        <w:rPr>
          <w:rFonts w:ascii="Arial" w:hAnsi="Arial" w:cs="Arial"/>
          <w:sz w:val="22"/>
          <w:szCs w:val="22"/>
          <w:lang w:val="sr-Cyrl-RS"/>
        </w:rPr>
        <w:t>__</w:t>
      </w:r>
      <w:r w:rsidRPr="00BE1511">
        <w:rPr>
          <w:rFonts w:ascii="Arial" w:hAnsi="Arial" w:cs="Arial"/>
          <w:sz w:val="22"/>
          <w:szCs w:val="22"/>
          <w:lang w:val="nb-NO"/>
        </w:rPr>
        <w:t xml:space="preserve">  =</w:t>
      </w:r>
      <w:r w:rsidRPr="00BE1511">
        <w:rPr>
          <w:rFonts w:ascii="Arial" w:hAnsi="Arial" w:cs="Arial"/>
          <w:sz w:val="22"/>
          <w:szCs w:val="22"/>
          <w:lang w:val="nb-NO"/>
        </w:rPr>
        <w:tab/>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3</w:t>
      </w:r>
      <w:r w:rsidRPr="00BE1511">
        <w:rPr>
          <w:rFonts w:ascii="Arial" w:hAnsi="Arial" w:cs="Arial"/>
          <w:b/>
          <w:sz w:val="22"/>
          <w:szCs w:val="22"/>
          <w:lang w:val="nb-NO"/>
        </w:rPr>
        <w:t xml:space="preserve">     Isporuka i ugradnja glavnog prekidača </w:t>
      </w:r>
      <w:r w:rsidRPr="00BE1511">
        <w:rPr>
          <w:rFonts w:ascii="Arial" w:hAnsi="Arial" w:cs="Arial"/>
          <w:sz w:val="22"/>
          <w:szCs w:val="22"/>
          <w:lang w:val="nb-NO"/>
        </w:rPr>
        <w:t>za ugradnju u glavnu RT</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Rastavljač – Vario 0.4kV, tropolni, 63A, tip Schneider VCF3         </w:t>
      </w:r>
      <w:r w:rsidRPr="00BE1511">
        <w:rPr>
          <w:rFonts w:ascii="Arial" w:hAnsi="Arial" w:cs="Arial"/>
          <w:sz w:val="22"/>
          <w:szCs w:val="22"/>
          <w:lang w:val="sr-Cyrl-RS"/>
        </w:rPr>
        <w:tab/>
      </w:r>
      <w:r w:rsidRPr="00BE1511">
        <w:rPr>
          <w:rFonts w:ascii="Arial" w:hAnsi="Arial" w:cs="Arial"/>
          <w:sz w:val="22"/>
          <w:szCs w:val="22"/>
          <w:lang w:val="nb-NO"/>
        </w:rPr>
        <w:t xml:space="preserve"> </w:t>
      </w:r>
      <w:r w:rsidRPr="00BE1511">
        <w:rPr>
          <w:rFonts w:ascii="Arial" w:hAnsi="Arial" w:cs="Arial"/>
          <w:sz w:val="22"/>
          <w:szCs w:val="22"/>
          <w:lang w:val="sr-Cyrl-RS"/>
        </w:rPr>
        <w:tab/>
      </w:r>
      <w:r w:rsidRPr="00BE1511">
        <w:rPr>
          <w:rFonts w:ascii="Arial" w:hAnsi="Arial" w:cs="Arial"/>
          <w:sz w:val="22"/>
          <w:szCs w:val="22"/>
          <w:lang w:val="nb-NO"/>
        </w:rPr>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Prekidač za napajanje table RT1, izvod br.23 u RT</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Prekidač 0.4kV, tropolni, 25A, C kriva, tip Schneider NG125H        </w:t>
      </w:r>
      <w:r w:rsidRPr="00BE1511">
        <w:rPr>
          <w:rFonts w:ascii="Arial" w:hAnsi="Arial" w:cs="Arial"/>
          <w:sz w:val="22"/>
          <w:szCs w:val="22"/>
          <w:lang w:val="sr-Cyrl-RS"/>
        </w:rPr>
        <w:tab/>
      </w:r>
      <w:r w:rsidRPr="00BE1511">
        <w:rPr>
          <w:rFonts w:ascii="Arial" w:hAnsi="Arial" w:cs="Arial"/>
          <w:sz w:val="22"/>
          <w:szCs w:val="22"/>
          <w:lang w:val="nb-NO"/>
        </w:rPr>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Naponski okidač prekidača, tip Schneider MX+OF</w:t>
      </w:r>
      <w:r w:rsidRPr="00BE1511">
        <w:rPr>
          <w:rFonts w:ascii="Arial" w:hAnsi="Arial" w:cs="Arial"/>
          <w:sz w:val="22"/>
          <w:szCs w:val="22"/>
          <w:lang w:val="nb-NO"/>
        </w:rPr>
        <w:tab/>
      </w:r>
      <w:r w:rsidRPr="00BE1511">
        <w:rPr>
          <w:rFonts w:ascii="Arial" w:hAnsi="Arial" w:cs="Arial"/>
          <w:sz w:val="22"/>
          <w:szCs w:val="22"/>
          <w:lang w:val="nb-NO"/>
        </w:rPr>
        <w:tab/>
        <w:t xml:space="preserve">              </w:t>
      </w:r>
      <w:r w:rsidRPr="00BE1511">
        <w:rPr>
          <w:rFonts w:ascii="Arial" w:hAnsi="Arial" w:cs="Arial"/>
          <w:sz w:val="22"/>
          <w:szCs w:val="22"/>
          <w:lang w:val="sr-Cyrl-RS"/>
        </w:rPr>
        <w:tab/>
      </w:r>
      <w:r w:rsidRPr="00BE1511">
        <w:rPr>
          <w:rFonts w:ascii="Arial" w:hAnsi="Arial" w:cs="Arial"/>
          <w:sz w:val="22"/>
          <w:szCs w:val="22"/>
          <w:lang w:val="nb-NO"/>
        </w:rPr>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4</w:t>
      </w:r>
      <w:r w:rsidRPr="00BE1511">
        <w:rPr>
          <w:rFonts w:ascii="Arial" w:hAnsi="Arial" w:cs="Arial"/>
          <w:b/>
          <w:sz w:val="22"/>
          <w:szCs w:val="22"/>
          <w:lang w:val="nb-NO"/>
        </w:rPr>
        <w:t xml:space="preserve">     Isporuka i ugradnja direktnog motornog pokretača </w:t>
      </w:r>
      <w:r w:rsidRPr="00BE1511">
        <w:rPr>
          <w:rFonts w:ascii="Arial" w:hAnsi="Arial" w:cs="Arial"/>
          <w:sz w:val="22"/>
          <w:szCs w:val="22"/>
          <w:lang w:val="nb-NO"/>
        </w:rPr>
        <w:t>za ugradnju na zid</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Motorni zaštitni pokretač, 400V, 0.55kW, 1,2..1.8A, tip Schneider LE1-M35I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kom     2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5</w:t>
      </w:r>
      <w:r w:rsidRPr="00BE1511">
        <w:rPr>
          <w:rFonts w:ascii="Arial" w:hAnsi="Arial" w:cs="Arial"/>
          <w:b/>
          <w:sz w:val="22"/>
          <w:szCs w:val="22"/>
          <w:lang w:val="nb-NO"/>
        </w:rPr>
        <w:t xml:space="preserve">     Isporuka i ugradnja automatskog prekidača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Automatski prekidač za ugradnju u razvodnu tablu RT1,  B   4A</w:t>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lastRenderedPageBreak/>
        <w:t>Automatski prekidač za ugradnju u razvodnu tablu RT1,  B   16A</w:t>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kom     9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Automatski prekidač za ugradnju u razvodnu tablu RT1  B   10A</w:t>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kom     7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Automatski prekidač za ugradnju u razv.  tablu RT,  C   25A</w:t>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kom     3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Zamena topljivih umetaka 35A u crpnoj stanici  sa C  63A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kom     3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6</w:t>
      </w:r>
      <w:r w:rsidRPr="00BE1511">
        <w:rPr>
          <w:rFonts w:ascii="Arial" w:hAnsi="Arial" w:cs="Arial"/>
          <w:b/>
          <w:sz w:val="22"/>
          <w:szCs w:val="22"/>
          <w:lang w:val="nb-NO"/>
        </w:rPr>
        <w:t xml:space="preserve">     Isporuka i ugradnja priključnice </w:t>
      </w:r>
      <w:r w:rsidRPr="00BE1511">
        <w:rPr>
          <w:rFonts w:ascii="Arial" w:hAnsi="Arial" w:cs="Arial"/>
          <w:sz w:val="22"/>
          <w:szCs w:val="22"/>
          <w:lang w:val="nb-NO"/>
        </w:rPr>
        <w:t>za ugradnju u zid</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sa zaštitnim kontaktom</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Priključnica sa porcelanskim uloškom, 16A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 xml:space="preserve">         </w:t>
      </w:r>
      <w:r w:rsidRPr="00BE1511">
        <w:rPr>
          <w:rFonts w:ascii="Arial" w:hAnsi="Arial" w:cs="Arial"/>
          <w:sz w:val="22"/>
          <w:szCs w:val="22"/>
          <w:lang w:val="nb-NO"/>
        </w:rPr>
        <w:tab/>
        <w:t xml:space="preserve">kom      8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Priključnica sa porcelanskim uloškom, dupla,  16A</w:t>
      </w:r>
      <w:r w:rsidRPr="00BE1511">
        <w:rPr>
          <w:rFonts w:ascii="Arial" w:hAnsi="Arial" w:cs="Arial"/>
          <w:sz w:val="22"/>
          <w:szCs w:val="22"/>
          <w:lang w:val="nb-NO"/>
        </w:rPr>
        <w:tab/>
        <w:t xml:space="preserve">                     </w:t>
      </w:r>
      <w:r w:rsidRPr="00BE1511">
        <w:rPr>
          <w:rFonts w:ascii="Arial" w:hAnsi="Arial" w:cs="Arial"/>
          <w:sz w:val="22"/>
          <w:szCs w:val="22"/>
          <w:lang w:val="nb-NO"/>
        </w:rPr>
        <w:tab/>
        <w:t xml:space="preserve">kom      2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7    </w:t>
      </w:r>
      <w:r w:rsidRPr="00BE1511">
        <w:rPr>
          <w:rFonts w:ascii="Arial" w:hAnsi="Arial" w:cs="Arial"/>
          <w:b/>
          <w:sz w:val="22"/>
          <w:szCs w:val="22"/>
          <w:lang w:val="nb-NO"/>
        </w:rPr>
        <w:t xml:space="preserve"> Isporuka i ugradnja razvodnih kutija </w:t>
      </w:r>
      <w:r w:rsidRPr="00BE1511">
        <w:rPr>
          <w:rFonts w:ascii="Arial" w:hAnsi="Arial" w:cs="Arial"/>
          <w:sz w:val="22"/>
          <w:szCs w:val="22"/>
          <w:lang w:val="nb-NO"/>
        </w:rPr>
        <w:t xml:space="preserve"> za ugradnju</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u zid sa 6 uvoda</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Razvodna kutija, 6 uvoda, plastična</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 xml:space="preserve">kom     20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Kutija za izjednačavanje potencijala, 6 uvoda, termoplast</w:t>
      </w:r>
      <w:r w:rsidRPr="00BE1511">
        <w:rPr>
          <w:rFonts w:ascii="Arial" w:hAnsi="Arial" w:cs="Arial"/>
          <w:sz w:val="22"/>
          <w:szCs w:val="22"/>
          <w:lang w:val="nb-NO"/>
        </w:rPr>
        <w:tab/>
      </w:r>
      <w:r w:rsidRPr="00BE1511">
        <w:rPr>
          <w:rFonts w:ascii="Arial" w:hAnsi="Arial" w:cs="Arial"/>
          <w:sz w:val="22"/>
          <w:szCs w:val="22"/>
          <w:lang w:val="nb-NO"/>
        </w:rPr>
        <w:tab/>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8</w:t>
      </w:r>
      <w:r w:rsidRPr="00BE1511">
        <w:rPr>
          <w:rFonts w:ascii="Arial" w:hAnsi="Arial" w:cs="Arial"/>
          <w:b/>
          <w:sz w:val="22"/>
          <w:szCs w:val="22"/>
          <w:lang w:val="nb-NO"/>
        </w:rPr>
        <w:t xml:space="preserve">     Isporuka i ugradnja ostalog nespecificiranog materijala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Obujmice, tiplovi, redne kleme, gips, izolaciona traka   </w:t>
      </w:r>
      <w:r w:rsidRPr="00BE1511">
        <w:rPr>
          <w:rFonts w:ascii="Arial" w:hAnsi="Arial" w:cs="Arial"/>
          <w:sz w:val="22"/>
          <w:szCs w:val="22"/>
          <w:lang w:val="nb-NO"/>
        </w:rPr>
        <w:tab/>
        <w:t xml:space="preserve">       </w:t>
      </w:r>
      <w:r w:rsidRPr="00BE1511">
        <w:rPr>
          <w:rFonts w:ascii="Arial" w:hAnsi="Arial" w:cs="Arial"/>
          <w:sz w:val="22"/>
          <w:szCs w:val="22"/>
          <w:lang w:val="sr-Cyrl-RS"/>
        </w:rPr>
        <w:tab/>
      </w:r>
      <w:r w:rsidRPr="00BE1511">
        <w:rPr>
          <w:rFonts w:ascii="Arial" w:hAnsi="Arial" w:cs="Arial"/>
          <w:sz w:val="22"/>
          <w:szCs w:val="22"/>
          <w:lang w:val="nb-NO"/>
        </w:rPr>
        <w:t>paušalno</w:t>
      </w:r>
      <w:r w:rsidRPr="00BE1511">
        <w:rPr>
          <w:rFonts w:ascii="Arial" w:hAnsi="Arial" w:cs="Arial"/>
          <w:sz w:val="22"/>
          <w:szCs w:val="22"/>
          <w:lang w:val="nb-NO"/>
        </w:rPr>
        <w:tab/>
        <w:t xml:space="preserve">=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9</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Instalacioni kabl tipa NHXHX 2x1.5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26"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25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10</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Instalacioni kabl tipa NHXHX 3x1.5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 id="_x0000_i1027"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28"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300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11</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Instalacioni kabl tipa NHXHX 3x2.5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 id="_x0000_i1029"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30"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200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12</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Instalacioni kabl tipa NHXHX 5x2.5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 id="_x0000_i1031"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32"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66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13</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Instalacioni kabl tipa NHXHX 5x6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 id="_x0000_i1033"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34"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20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sr-Cyrl-RS"/>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14</w:t>
      </w:r>
      <w:r w:rsidRPr="00BE1511">
        <w:rPr>
          <w:rFonts w:ascii="Arial" w:hAnsi="Arial" w:cs="Arial"/>
          <w:b/>
          <w:sz w:val="22"/>
          <w:szCs w:val="22"/>
          <w:lang w:val="nb-NO"/>
        </w:rPr>
        <w:t xml:space="preserve">   Isporuka i ugradnja bezhalogenog instalacionog kabla</w:t>
      </w:r>
    </w:p>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nb-NO"/>
        </w:rPr>
        <w:t xml:space="preserve">       Instalacioni kabl tipa NHXHX 1x6 </w:t>
      </w:r>
      <w:r w:rsidRPr="00BE1511">
        <w:rPr>
          <w:rFonts w:ascii="Arial" w:hAnsi="Arial" w:cs="Arial"/>
          <w:sz w:val="22"/>
          <w:szCs w:val="22"/>
          <w:lang w:val="nb-NO"/>
        </w:rPr>
        <w:fldChar w:fldCharType="begin"/>
      </w:r>
      <w:r w:rsidRPr="00BE1511">
        <w:rPr>
          <w:rFonts w:ascii="Arial" w:hAnsi="Arial" w:cs="Arial"/>
          <w:sz w:val="22"/>
          <w:szCs w:val="22"/>
          <w:lang w:val="nb-NO"/>
        </w:rPr>
        <w:instrText xml:space="preserve"> QUOTE </w:instrText>
      </w:r>
      <w:r w:rsidR="00287F13">
        <w:rPr>
          <w:rFonts w:ascii="Arial" w:hAnsi="Arial" w:cs="Arial"/>
          <w:sz w:val="22"/>
          <w:szCs w:val="22"/>
          <w:lang w:val="en-US"/>
        </w:rPr>
        <w:pict>
          <v:shape id="_x0000_i1035" type="#_x0000_t75" style="width:23.1pt;height:16.65pt" equationxml="&lt;">
            <v:imagedata r:id="rId9" o:title="" chromakey="white"/>
          </v:shape>
        </w:pict>
      </w:r>
      <w:r w:rsidRPr="00BE1511">
        <w:rPr>
          <w:rFonts w:ascii="Arial" w:hAnsi="Arial" w:cs="Arial"/>
          <w:sz w:val="22"/>
          <w:szCs w:val="22"/>
          <w:lang w:val="nb-NO"/>
        </w:rPr>
        <w:instrText xml:space="preserve"> </w:instrText>
      </w:r>
      <w:r w:rsidRPr="00BE1511">
        <w:rPr>
          <w:rFonts w:ascii="Arial" w:hAnsi="Arial" w:cs="Arial"/>
          <w:sz w:val="22"/>
          <w:szCs w:val="22"/>
          <w:lang w:val="nb-NO"/>
        </w:rPr>
        <w:fldChar w:fldCharType="separate"/>
      </w:r>
      <w:r w:rsidR="00287F13">
        <w:rPr>
          <w:rFonts w:ascii="Arial" w:hAnsi="Arial" w:cs="Arial"/>
          <w:sz w:val="22"/>
          <w:szCs w:val="22"/>
          <w:lang w:val="en-US"/>
        </w:rPr>
        <w:pict>
          <v:shape id="_x0000_i1036" type="#_x0000_t75" style="width:23.1pt;height:16.65pt" equationxml="&lt;">
            <v:imagedata r:id="rId9" o:title="" chromakey="white"/>
          </v:shape>
        </w:pict>
      </w:r>
      <w:r w:rsidRPr="00BE1511">
        <w:rPr>
          <w:rFonts w:ascii="Arial" w:hAnsi="Arial" w:cs="Arial"/>
          <w:sz w:val="22"/>
          <w:szCs w:val="22"/>
          <w:lang w:val="sr-Cyrl-RS"/>
        </w:rPr>
        <w:fldChar w:fldCharType="end"/>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sr-Cyrl-RS"/>
        </w:rPr>
        <w:tab/>
      </w:r>
      <w:r w:rsidRPr="00BE1511">
        <w:rPr>
          <w:rFonts w:ascii="Arial" w:hAnsi="Arial" w:cs="Arial"/>
          <w:sz w:val="22"/>
          <w:szCs w:val="22"/>
          <w:lang w:val="nb-NO"/>
        </w:rPr>
        <w:t xml:space="preserve">metara       30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sz w:val="22"/>
          <w:szCs w:val="22"/>
          <w:lang w:val="nb-NO"/>
        </w:rPr>
      </w:pPr>
    </w:p>
    <w:p w:rsidR="00BE1511" w:rsidRPr="00BE1511" w:rsidRDefault="00BE1511" w:rsidP="00BE1511">
      <w:pPr>
        <w:jc w:val="both"/>
        <w:rPr>
          <w:rFonts w:ascii="Arial" w:hAnsi="Arial" w:cs="Arial"/>
          <w:b/>
          <w:sz w:val="22"/>
          <w:szCs w:val="22"/>
          <w:lang w:val="nb-NO"/>
        </w:rPr>
      </w:pPr>
      <w:r w:rsidRPr="00BE1511">
        <w:rPr>
          <w:rFonts w:ascii="Arial" w:hAnsi="Arial" w:cs="Arial"/>
          <w:sz w:val="22"/>
          <w:szCs w:val="22"/>
          <w:lang w:val="nb-NO"/>
        </w:rPr>
        <w:t>15</w:t>
      </w:r>
      <w:r w:rsidRPr="00BE1511">
        <w:rPr>
          <w:rFonts w:ascii="Arial" w:hAnsi="Arial" w:cs="Arial"/>
          <w:b/>
          <w:sz w:val="22"/>
          <w:szCs w:val="22"/>
          <w:lang w:val="nb-NO"/>
        </w:rPr>
        <w:t xml:space="preserve">   Isporuka i ugradnja bijlera zapremine 30l</w:t>
      </w:r>
    </w:p>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 xml:space="preserve">Bojler tip "Magnohrom AD 30S" </w:t>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r>
      <w:r w:rsidRPr="00BE1511">
        <w:rPr>
          <w:rFonts w:ascii="Arial" w:hAnsi="Arial" w:cs="Arial"/>
          <w:sz w:val="22"/>
          <w:szCs w:val="22"/>
          <w:lang w:val="nb-NO"/>
        </w:rPr>
        <w:tab/>
        <w:t xml:space="preserve">kom         1 x     </w:t>
      </w:r>
      <w:r w:rsidRPr="00BE1511">
        <w:rPr>
          <w:rFonts w:ascii="Arial" w:hAnsi="Arial" w:cs="Arial"/>
          <w:sz w:val="22"/>
          <w:szCs w:val="22"/>
          <w:lang w:val="sr-Cyrl-RS"/>
        </w:rPr>
        <w:t>__</w:t>
      </w:r>
      <w:r w:rsidRPr="00BE1511">
        <w:rPr>
          <w:rFonts w:ascii="Arial" w:hAnsi="Arial" w:cs="Arial"/>
          <w:sz w:val="22"/>
          <w:szCs w:val="22"/>
          <w:lang w:val="nb-NO"/>
        </w:rPr>
        <w:t xml:space="preserve"> =        </w:t>
      </w:r>
    </w:p>
    <w:p w:rsidR="00BE1511" w:rsidRPr="00BE1511" w:rsidRDefault="00BE1511" w:rsidP="00BE1511">
      <w:pPr>
        <w:jc w:val="both"/>
        <w:rPr>
          <w:rFonts w:ascii="Arial" w:hAnsi="Arial" w:cs="Arial"/>
          <w:b/>
          <w:sz w:val="22"/>
          <w:szCs w:val="22"/>
          <w:lang w:val="sr-Cyrl-RS"/>
        </w:rPr>
      </w:pPr>
    </w:p>
    <w:tbl>
      <w:tblPr>
        <w:tblW w:w="9371" w:type="dxa"/>
        <w:tblInd w:w="93" w:type="dxa"/>
        <w:tblLook w:val="00A0" w:firstRow="1" w:lastRow="0" w:firstColumn="1" w:lastColumn="0" w:noHBand="0" w:noVBand="0"/>
      </w:tblPr>
      <w:tblGrid>
        <w:gridCol w:w="670"/>
        <w:gridCol w:w="4874"/>
        <w:gridCol w:w="969"/>
        <w:gridCol w:w="732"/>
        <w:gridCol w:w="850"/>
        <w:gridCol w:w="1276"/>
      </w:tblGrid>
      <w:tr w:rsidR="00BE1511" w:rsidRPr="00BE1511" w:rsidTr="00BE1511">
        <w:trPr>
          <w:trHeight w:val="315"/>
        </w:trPr>
        <w:tc>
          <w:tcPr>
            <w:tcW w:w="5544" w:type="dxa"/>
            <w:gridSpan w:val="2"/>
            <w:noWrap/>
          </w:tcPr>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GROMOBRANSKA ZAŠTITA</w:t>
            </w:r>
          </w:p>
        </w:tc>
        <w:tc>
          <w:tcPr>
            <w:tcW w:w="969" w:type="dxa"/>
          </w:tcPr>
          <w:p w:rsidR="00BE1511" w:rsidRPr="00BE1511" w:rsidRDefault="00BE1511" w:rsidP="00BE1511">
            <w:pPr>
              <w:jc w:val="both"/>
              <w:rPr>
                <w:rFonts w:ascii="Arial" w:hAnsi="Arial" w:cs="Arial"/>
                <w:b/>
                <w:bCs/>
                <w:sz w:val="22"/>
                <w:szCs w:val="22"/>
                <w:lang w:val="sr-Latn-RS"/>
              </w:rPr>
            </w:pPr>
          </w:p>
        </w:tc>
        <w:tc>
          <w:tcPr>
            <w:tcW w:w="732" w:type="dxa"/>
          </w:tcPr>
          <w:p w:rsidR="00BE1511" w:rsidRPr="00BE1511" w:rsidRDefault="00BE1511" w:rsidP="00BE1511">
            <w:pPr>
              <w:jc w:val="both"/>
              <w:rPr>
                <w:rFonts w:ascii="Arial" w:hAnsi="Arial" w:cs="Arial"/>
                <w:b/>
                <w:bCs/>
                <w:sz w:val="22"/>
                <w:szCs w:val="22"/>
                <w:lang w:val="sr-Latn-RS"/>
              </w:rPr>
            </w:pPr>
          </w:p>
        </w:tc>
        <w:tc>
          <w:tcPr>
            <w:tcW w:w="850" w:type="dxa"/>
          </w:tcPr>
          <w:p w:rsidR="00BE1511" w:rsidRPr="00BE1511" w:rsidRDefault="00BE1511" w:rsidP="00BE1511">
            <w:pPr>
              <w:jc w:val="both"/>
              <w:rPr>
                <w:rFonts w:ascii="Arial" w:hAnsi="Arial" w:cs="Arial"/>
                <w:sz w:val="22"/>
                <w:szCs w:val="22"/>
                <w:lang w:val="sr-Latn-RS"/>
              </w:rPr>
            </w:pPr>
          </w:p>
        </w:tc>
        <w:tc>
          <w:tcPr>
            <w:tcW w:w="1276" w:type="dxa"/>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315"/>
        </w:trPr>
        <w:tc>
          <w:tcPr>
            <w:tcW w:w="670" w:type="dxa"/>
            <w:tcBorders>
              <w:top w:val="nil"/>
              <w:left w:val="nil"/>
              <w:bottom w:val="single" w:sz="4" w:space="0" w:color="auto"/>
              <w:right w:val="nil"/>
            </w:tcBorders>
            <w:noWrap/>
          </w:tcPr>
          <w:p w:rsidR="00BE1511" w:rsidRPr="00BE1511" w:rsidRDefault="00BE1511" w:rsidP="00BE1511">
            <w:pPr>
              <w:jc w:val="both"/>
              <w:rPr>
                <w:rFonts w:ascii="Arial" w:hAnsi="Arial" w:cs="Arial"/>
                <w:b/>
                <w:bCs/>
                <w:sz w:val="22"/>
                <w:szCs w:val="22"/>
                <w:lang w:val="sr-Latn-RS"/>
              </w:rPr>
            </w:pPr>
          </w:p>
        </w:tc>
        <w:tc>
          <w:tcPr>
            <w:tcW w:w="4874" w:type="dxa"/>
            <w:tcBorders>
              <w:top w:val="nil"/>
              <w:left w:val="nil"/>
              <w:bottom w:val="single" w:sz="4" w:space="0" w:color="auto"/>
              <w:right w:val="nil"/>
            </w:tcBorders>
          </w:tcPr>
          <w:p w:rsidR="00BE1511" w:rsidRPr="00BE1511" w:rsidRDefault="00BE1511" w:rsidP="00BE1511">
            <w:pPr>
              <w:jc w:val="both"/>
              <w:rPr>
                <w:rFonts w:ascii="Arial" w:hAnsi="Arial" w:cs="Arial"/>
                <w:b/>
                <w:bCs/>
                <w:sz w:val="22"/>
                <w:szCs w:val="22"/>
                <w:lang w:val="sr-Latn-RS"/>
              </w:rPr>
            </w:pPr>
          </w:p>
        </w:tc>
        <w:tc>
          <w:tcPr>
            <w:tcW w:w="969" w:type="dxa"/>
            <w:tcBorders>
              <w:top w:val="nil"/>
              <w:left w:val="nil"/>
              <w:bottom w:val="single" w:sz="4" w:space="0" w:color="auto"/>
              <w:right w:val="nil"/>
            </w:tcBorders>
          </w:tcPr>
          <w:p w:rsidR="00BE1511" w:rsidRPr="00BE1511" w:rsidRDefault="00BE1511" w:rsidP="00BE1511">
            <w:pPr>
              <w:jc w:val="both"/>
              <w:rPr>
                <w:rFonts w:ascii="Arial" w:hAnsi="Arial" w:cs="Arial"/>
                <w:b/>
                <w:bCs/>
                <w:sz w:val="22"/>
                <w:szCs w:val="22"/>
                <w:lang w:val="sr-Latn-RS"/>
              </w:rPr>
            </w:pPr>
          </w:p>
        </w:tc>
        <w:tc>
          <w:tcPr>
            <w:tcW w:w="732" w:type="dxa"/>
            <w:tcBorders>
              <w:top w:val="nil"/>
              <w:left w:val="nil"/>
              <w:bottom w:val="single" w:sz="4" w:space="0" w:color="auto"/>
              <w:right w:val="nil"/>
            </w:tcBorders>
          </w:tcPr>
          <w:p w:rsidR="00BE1511" w:rsidRPr="00BE1511" w:rsidRDefault="00BE1511" w:rsidP="00BE1511">
            <w:pPr>
              <w:jc w:val="both"/>
              <w:rPr>
                <w:rFonts w:ascii="Arial" w:hAnsi="Arial" w:cs="Arial"/>
                <w:b/>
                <w:bCs/>
                <w:sz w:val="22"/>
                <w:szCs w:val="22"/>
                <w:lang w:val="sr-Latn-RS"/>
              </w:rPr>
            </w:pPr>
          </w:p>
        </w:tc>
        <w:tc>
          <w:tcPr>
            <w:tcW w:w="850" w:type="dxa"/>
            <w:tcBorders>
              <w:top w:val="nil"/>
              <w:left w:val="nil"/>
              <w:bottom w:val="single" w:sz="4" w:space="0" w:color="auto"/>
              <w:right w:val="nil"/>
            </w:tcBorders>
          </w:tcPr>
          <w:p w:rsidR="00BE1511" w:rsidRPr="00BE1511" w:rsidRDefault="00BE1511" w:rsidP="00BE1511">
            <w:pPr>
              <w:jc w:val="both"/>
              <w:rPr>
                <w:rFonts w:ascii="Arial" w:hAnsi="Arial" w:cs="Arial"/>
                <w:sz w:val="22"/>
                <w:szCs w:val="22"/>
                <w:lang w:val="sr-Latn-RS"/>
              </w:rPr>
            </w:pPr>
          </w:p>
        </w:tc>
        <w:tc>
          <w:tcPr>
            <w:tcW w:w="1276" w:type="dxa"/>
            <w:tcBorders>
              <w:top w:val="nil"/>
              <w:left w:val="nil"/>
              <w:bottom w:val="single" w:sz="4" w:space="0" w:color="auto"/>
              <w:right w:val="nil"/>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315"/>
        </w:trPr>
        <w:tc>
          <w:tcPr>
            <w:tcW w:w="5544" w:type="dxa"/>
            <w:gridSpan w:val="2"/>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Prihvatni sistem</w:t>
            </w:r>
          </w:p>
        </w:tc>
        <w:tc>
          <w:tcPr>
            <w:tcW w:w="969"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sr-Latn-RS"/>
              </w:rPr>
            </w:pPr>
          </w:p>
        </w:tc>
        <w:tc>
          <w:tcPr>
            <w:tcW w:w="732"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sr-Latn-RS"/>
              </w:rPr>
            </w:pPr>
          </w:p>
        </w:tc>
        <w:tc>
          <w:tcPr>
            <w:tcW w:w="850"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630"/>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R.b.</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Opis</w:t>
            </w:r>
          </w:p>
        </w:tc>
        <w:tc>
          <w:tcPr>
            <w:tcW w:w="969"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Jed. mere</w:t>
            </w:r>
          </w:p>
        </w:tc>
        <w:tc>
          <w:tcPr>
            <w:tcW w:w="732"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Kol</w:t>
            </w:r>
          </w:p>
        </w:tc>
        <w:tc>
          <w:tcPr>
            <w:tcW w:w="850"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 xml:space="preserve">Jed. cena </w:t>
            </w:r>
          </w:p>
        </w:tc>
        <w:tc>
          <w:tcPr>
            <w:tcW w:w="127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UKUPNO</w:t>
            </w:r>
          </w:p>
        </w:tc>
      </w:tr>
      <w:tr w:rsidR="00BE1511" w:rsidRPr="00BE1511" w:rsidTr="00BE1511">
        <w:trPr>
          <w:trHeight w:val="1291"/>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1</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provodnika prihvatnog sistema tip RH3 90150, (Hermi) izrađen od nerđajućeg čelika  Ø8mm pun presek. Montira se na tipskim nosačima.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93</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700"/>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2</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nosača za ravan krov (mali nagib) krov tip SON 17B 117226, (Hermi)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14</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569"/>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3</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nosača za atiku tip SON04A 426, (Hermi) izrađen od nerđajućeg čelika.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76</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1177"/>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4</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kontaktnog elementa tip KON04A 50522, (Hermi) izrađen od nerđajućeg čelika  za međusobno povezivanje provodnika prihvatnog sistema.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6</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862"/>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5</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kontaktnog elementa za povezivanenje metalnih masa tip KON05 80518, (Hermi) izrađen od nerđajućeg čelika.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8</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315"/>
        </w:trPr>
        <w:tc>
          <w:tcPr>
            <w:tcW w:w="670" w:type="dxa"/>
            <w:tcBorders>
              <w:top w:val="single" w:sz="4" w:space="0" w:color="auto"/>
              <w:left w:val="single" w:sz="4" w:space="0" w:color="auto"/>
              <w:bottom w:val="single" w:sz="4" w:space="0" w:color="auto"/>
              <w:right w:val="single" w:sz="4" w:space="0" w:color="auto"/>
            </w:tcBorders>
            <w:noWrap/>
          </w:tcPr>
          <w:p w:rsidR="00BE1511" w:rsidRPr="00BE1511" w:rsidRDefault="00BE1511" w:rsidP="00BE1511">
            <w:pPr>
              <w:jc w:val="both"/>
              <w:rPr>
                <w:rFonts w:ascii="Arial" w:hAnsi="Arial" w:cs="Arial"/>
                <w:sz w:val="22"/>
                <w:szCs w:val="22"/>
                <w:lang w:val="sr-Latn-RS"/>
              </w:rPr>
            </w:pPr>
          </w:p>
        </w:tc>
        <w:tc>
          <w:tcPr>
            <w:tcW w:w="487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sr-Latn-R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sz w:val="22"/>
                <w:szCs w:val="22"/>
                <w:lang w:val="sr-Cyrl-RS"/>
              </w:rPr>
            </w:pPr>
            <w:r w:rsidRPr="00BE1511">
              <w:rPr>
                <w:rFonts w:ascii="Arial" w:hAnsi="Arial" w:cs="Arial"/>
                <w:b/>
                <w:sz w:val="22"/>
                <w:szCs w:val="22"/>
                <w:lang w:val="sr-Cyrl-RS"/>
              </w:rPr>
              <w:t>Ukupnо</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bl>
    <w:p w:rsidR="00BE1511" w:rsidRPr="00BE1511" w:rsidRDefault="00BE1511" w:rsidP="00BE1511">
      <w:pPr>
        <w:jc w:val="both"/>
        <w:rPr>
          <w:rFonts w:ascii="Arial" w:hAnsi="Arial" w:cs="Arial"/>
          <w:sz w:val="22"/>
          <w:szCs w:val="22"/>
          <w:lang w:val="en-US"/>
        </w:rPr>
      </w:pPr>
    </w:p>
    <w:tbl>
      <w:tblPr>
        <w:tblW w:w="9371" w:type="dxa"/>
        <w:tblInd w:w="93" w:type="dxa"/>
        <w:tblLook w:val="00A0" w:firstRow="1" w:lastRow="0" w:firstColumn="1" w:lastColumn="0" w:noHBand="0" w:noVBand="0"/>
      </w:tblPr>
      <w:tblGrid>
        <w:gridCol w:w="670"/>
        <w:gridCol w:w="4874"/>
        <w:gridCol w:w="969"/>
        <w:gridCol w:w="732"/>
        <w:gridCol w:w="850"/>
        <w:gridCol w:w="1276"/>
      </w:tblGrid>
      <w:tr w:rsidR="00BE1511" w:rsidRPr="00BE1511" w:rsidTr="00BE1511">
        <w:trPr>
          <w:trHeight w:val="315"/>
        </w:trPr>
        <w:tc>
          <w:tcPr>
            <w:tcW w:w="5544" w:type="dxa"/>
            <w:gridSpan w:val="2"/>
            <w:tcBorders>
              <w:top w:val="nil"/>
              <w:left w:val="nil"/>
              <w:bottom w:val="single" w:sz="4" w:space="0" w:color="auto"/>
              <w:right w:val="nil"/>
            </w:tcBorders>
            <w:noWrap/>
          </w:tcPr>
          <w:p w:rsidR="00BE1511" w:rsidRPr="00BE1511" w:rsidRDefault="00BE1511" w:rsidP="00BE1511">
            <w:pPr>
              <w:jc w:val="both"/>
              <w:rPr>
                <w:rFonts w:ascii="Arial" w:hAnsi="Arial" w:cs="Arial"/>
                <w:b/>
                <w:bCs/>
                <w:sz w:val="22"/>
                <w:szCs w:val="22"/>
                <w:lang w:val="sr-Cyrl-RS"/>
              </w:rPr>
            </w:pPr>
          </w:p>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Spusni provodnici</w:t>
            </w:r>
          </w:p>
        </w:tc>
        <w:tc>
          <w:tcPr>
            <w:tcW w:w="969" w:type="dxa"/>
            <w:tcBorders>
              <w:top w:val="nil"/>
              <w:left w:val="nil"/>
              <w:bottom w:val="single" w:sz="4" w:space="0" w:color="auto"/>
              <w:right w:val="nil"/>
            </w:tcBorders>
          </w:tcPr>
          <w:p w:rsidR="00BE1511" w:rsidRPr="00BE1511" w:rsidRDefault="00BE1511" w:rsidP="00BE1511">
            <w:pPr>
              <w:jc w:val="both"/>
              <w:rPr>
                <w:rFonts w:ascii="Arial" w:hAnsi="Arial" w:cs="Arial"/>
                <w:sz w:val="22"/>
                <w:szCs w:val="22"/>
                <w:lang w:val="sr-Latn-RS"/>
              </w:rPr>
            </w:pPr>
          </w:p>
        </w:tc>
        <w:tc>
          <w:tcPr>
            <w:tcW w:w="732" w:type="dxa"/>
            <w:tcBorders>
              <w:top w:val="nil"/>
              <w:left w:val="nil"/>
              <w:bottom w:val="single" w:sz="4" w:space="0" w:color="auto"/>
              <w:right w:val="nil"/>
            </w:tcBorders>
          </w:tcPr>
          <w:p w:rsidR="00BE1511" w:rsidRPr="00BE1511" w:rsidRDefault="00BE1511" w:rsidP="00BE1511">
            <w:pPr>
              <w:jc w:val="both"/>
              <w:rPr>
                <w:rFonts w:ascii="Arial" w:hAnsi="Arial" w:cs="Arial"/>
                <w:sz w:val="22"/>
                <w:szCs w:val="22"/>
                <w:lang w:val="sr-Latn-RS"/>
              </w:rPr>
            </w:pPr>
          </w:p>
        </w:tc>
        <w:tc>
          <w:tcPr>
            <w:tcW w:w="850" w:type="dxa"/>
            <w:tcBorders>
              <w:top w:val="nil"/>
              <w:left w:val="nil"/>
              <w:bottom w:val="single" w:sz="4" w:space="0" w:color="auto"/>
              <w:right w:val="nil"/>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nil"/>
              <w:left w:val="nil"/>
              <w:bottom w:val="single" w:sz="4" w:space="0" w:color="auto"/>
              <w:right w:val="nil"/>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630"/>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R.b.</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Opis</w:t>
            </w:r>
          </w:p>
        </w:tc>
        <w:tc>
          <w:tcPr>
            <w:tcW w:w="969"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Jed. mere</w:t>
            </w:r>
          </w:p>
        </w:tc>
        <w:tc>
          <w:tcPr>
            <w:tcW w:w="732"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Kol</w:t>
            </w:r>
          </w:p>
        </w:tc>
        <w:tc>
          <w:tcPr>
            <w:tcW w:w="850"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 xml:space="preserve">Jed. cena </w:t>
            </w:r>
          </w:p>
        </w:tc>
        <w:tc>
          <w:tcPr>
            <w:tcW w:w="127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sr-Latn-RS"/>
              </w:rPr>
            </w:pPr>
            <w:r w:rsidRPr="00BE1511">
              <w:rPr>
                <w:rFonts w:ascii="Arial" w:hAnsi="Arial" w:cs="Arial"/>
                <w:b/>
                <w:bCs/>
                <w:sz w:val="22"/>
                <w:szCs w:val="22"/>
                <w:lang w:val="sr-Latn-RS"/>
              </w:rPr>
              <w:t>UKUPNO</w:t>
            </w:r>
          </w:p>
        </w:tc>
      </w:tr>
      <w:tr w:rsidR="00BE1511" w:rsidRPr="00BE1511" w:rsidTr="00BE1511">
        <w:trPr>
          <w:trHeight w:val="1164"/>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1</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provodnika odvodnog sistema tip  90150, (Hermi) izrađen od nerđajućeg čelika  Ø8mm pun presek. Postavlja se u na zid.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56</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881"/>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2</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zidnog nosača tip </w:t>
            </w:r>
            <w:r w:rsidRPr="00BE1511">
              <w:rPr>
                <w:rFonts w:ascii="Arial" w:hAnsi="Arial" w:cs="Arial"/>
                <w:sz w:val="22"/>
                <w:szCs w:val="22"/>
                <w:lang w:val="sr-Latn-RS"/>
              </w:rPr>
              <w:br/>
              <w:t xml:space="preserve">SON N-NS 116304, (Hermi) izrađen od </w:t>
            </w:r>
            <w:r w:rsidRPr="00BE1511">
              <w:rPr>
                <w:rFonts w:ascii="Arial" w:hAnsi="Arial" w:cs="Arial"/>
                <w:sz w:val="22"/>
                <w:szCs w:val="22"/>
                <w:lang w:val="sr-Latn-RS"/>
              </w:rPr>
              <w:br/>
              <w:t>UV stabilne plastike.</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36</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1391"/>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3</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 xml:space="preserve">Nabavka i ugradnja kontaktnog elementa - merni spoj tip KON02 40122, (Hermi) izrađen od nerđajućeg čelika  za međusobno povezivanje   spusnog provodnika i  trake zemljovoda </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6</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1260"/>
        </w:trPr>
        <w:tc>
          <w:tcPr>
            <w:tcW w:w="670"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lastRenderedPageBreak/>
              <w:t>4</w:t>
            </w:r>
          </w:p>
        </w:tc>
        <w:tc>
          <w:tcPr>
            <w:tcW w:w="4874"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Nabavka i ugradnja obujmice Ø120 za povezivanje zemljovoda na olučnu vertikalu tip KON 10A 700358,  (Hermi) izrađena od nerđajućeg čelika.</w:t>
            </w:r>
          </w:p>
        </w:tc>
        <w:tc>
          <w:tcPr>
            <w:tcW w:w="969"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kom</w:t>
            </w:r>
          </w:p>
        </w:tc>
        <w:tc>
          <w:tcPr>
            <w:tcW w:w="732" w:type="dxa"/>
            <w:tcBorders>
              <w:top w:val="single" w:sz="4" w:space="0" w:color="auto"/>
              <w:left w:val="single" w:sz="4" w:space="0" w:color="auto"/>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sr-Latn-RS"/>
              </w:rPr>
            </w:pPr>
            <w:r w:rsidRPr="00BE1511">
              <w:rPr>
                <w:rFonts w:ascii="Arial" w:hAnsi="Arial" w:cs="Arial"/>
                <w:sz w:val="22"/>
                <w:szCs w:val="22"/>
                <w:lang w:val="sr-Latn-RS"/>
              </w:rPr>
              <w:t>4</w:t>
            </w:r>
          </w:p>
        </w:tc>
        <w:tc>
          <w:tcPr>
            <w:tcW w:w="850" w:type="dxa"/>
            <w:tcBorders>
              <w:top w:val="single" w:sz="4" w:space="0" w:color="auto"/>
              <w:left w:val="single" w:sz="4" w:space="0" w:color="auto"/>
              <w:bottom w:val="single" w:sz="4" w:space="0" w:color="auto"/>
              <w:right w:val="single" w:sz="4" w:space="0" w:color="auto"/>
            </w:tcBorders>
            <w:vAlign w:val="bottom"/>
          </w:tcPr>
          <w:p w:rsidR="00BE1511" w:rsidRPr="00BE1511" w:rsidRDefault="00BE1511" w:rsidP="00BE1511">
            <w:pPr>
              <w:jc w:val="both"/>
              <w:rPr>
                <w:rFonts w:ascii="Arial" w:hAnsi="Arial" w:cs="Arial"/>
                <w:sz w:val="22"/>
                <w:szCs w:val="22"/>
                <w:lang w:val="sr-Latn-R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sz w:val="22"/>
                <w:szCs w:val="22"/>
                <w:lang w:val="sr-Latn-RS"/>
              </w:rPr>
            </w:pPr>
          </w:p>
        </w:tc>
      </w:tr>
      <w:tr w:rsidR="00BE1511" w:rsidRPr="00BE1511" w:rsidTr="00BE1511">
        <w:trPr>
          <w:trHeight w:val="315"/>
        </w:trPr>
        <w:tc>
          <w:tcPr>
            <w:tcW w:w="670" w:type="dxa"/>
            <w:tcBorders>
              <w:top w:val="single" w:sz="4" w:space="0" w:color="auto"/>
              <w:left w:val="single" w:sz="4" w:space="0" w:color="auto"/>
              <w:bottom w:val="single" w:sz="4" w:space="0" w:color="auto"/>
              <w:right w:val="single" w:sz="4" w:space="0" w:color="auto"/>
            </w:tcBorders>
            <w:noWrap/>
          </w:tcPr>
          <w:p w:rsidR="00BE1511" w:rsidRPr="00BE1511" w:rsidRDefault="00BE1511" w:rsidP="00BE1511">
            <w:pPr>
              <w:jc w:val="both"/>
              <w:rPr>
                <w:rFonts w:ascii="Arial" w:hAnsi="Arial" w:cs="Arial"/>
                <w:sz w:val="22"/>
                <w:szCs w:val="22"/>
                <w:lang w:val="sr-Latn-RS"/>
              </w:rPr>
            </w:pPr>
          </w:p>
        </w:tc>
        <w:tc>
          <w:tcPr>
            <w:tcW w:w="487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sr-Latn-RS"/>
              </w:rPr>
            </w:pPr>
          </w:p>
        </w:tc>
        <w:tc>
          <w:tcPr>
            <w:tcW w:w="2551" w:type="dxa"/>
            <w:gridSpan w:val="3"/>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sr-Cyrl-RS"/>
              </w:rPr>
            </w:pPr>
            <w:r w:rsidRPr="00BE1511">
              <w:rPr>
                <w:rFonts w:ascii="Arial" w:hAnsi="Arial" w:cs="Arial"/>
                <w:b/>
                <w:bCs/>
                <w:sz w:val="22"/>
                <w:szCs w:val="22"/>
                <w:lang w:val="sr-Latn-RS"/>
              </w:rPr>
              <w:t xml:space="preserve">UKUPNO </w:t>
            </w:r>
          </w:p>
        </w:tc>
        <w:tc>
          <w:tcPr>
            <w:tcW w:w="1276" w:type="dxa"/>
            <w:tcBorders>
              <w:top w:val="single" w:sz="4" w:space="0" w:color="auto"/>
              <w:left w:val="single" w:sz="4" w:space="0" w:color="auto"/>
              <w:bottom w:val="single" w:sz="4" w:space="0" w:color="auto"/>
              <w:right w:val="single" w:sz="4" w:space="0" w:color="auto"/>
            </w:tcBorders>
            <w:noWrap/>
            <w:vAlign w:val="bottom"/>
          </w:tcPr>
          <w:p w:rsidR="00BE1511" w:rsidRPr="00BE1511" w:rsidRDefault="00BE1511" w:rsidP="00BE1511">
            <w:pPr>
              <w:jc w:val="both"/>
              <w:rPr>
                <w:rFonts w:ascii="Arial" w:hAnsi="Arial" w:cs="Arial"/>
                <w:b/>
                <w:bCs/>
                <w:sz w:val="22"/>
                <w:szCs w:val="22"/>
                <w:lang w:val="sr-Latn-RS"/>
              </w:rPr>
            </w:pPr>
          </w:p>
        </w:tc>
      </w:tr>
    </w:tbl>
    <w:p w:rsidR="00BE1511" w:rsidRPr="00BE1511" w:rsidRDefault="00BE1511" w:rsidP="00BE1511">
      <w:pPr>
        <w:jc w:val="both"/>
        <w:rPr>
          <w:rFonts w:ascii="Arial" w:hAnsi="Arial" w:cs="Arial"/>
          <w:b/>
          <w:sz w:val="22"/>
          <w:szCs w:val="22"/>
          <w:lang w:val="sr-Cyrl-RS"/>
        </w:rPr>
      </w:pPr>
    </w:p>
    <w:p w:rsidR="00BE1511" w:rsidRPr="00BE1511" w:rsidRDefault="00BE1511" w:rsidP="00BE1511">
      <w:pPr>
        <w:jc w:val="both"/>
        <w:rPr>
          <w:rFonts w:ascii="Arial" w:hAnsi="Arial" w:cs="Arial"/>
          <w:b/>
          <w:sz w:val="22"/>
          <w:szCs w:val="22"/>
          <w:lang w:val="nb-NO"/>
        </w:rPr>
      </w:pPr>
      <w:r w:rsidRPr="00BE1511">
        <w:rPr>
          <w:rFonts w:ascii="Arial" w:hAnsi="Arial" w:cs="Arial"/>
          <w:b/>
          <w:sz w:val="22"/>
          <w:szCs w:val="22"/>
          <w:lang w:val="nb-NO"/>
        </w:rPr>
        <w:t>REKAPITULACIJA: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56"/>
        <w:gridCol w:w="1284"/>
      </w:tblGrid>
      <w:tr w:rsidR="00BE1511" w:rsidRPr="00BE1511" w:rsidTr="00BE1511">
        <w:tc>
          <w:tcPr>
            <w:tcW w:w="828"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1.</w:t>
            </w:r>
          </w:p>
        </w:tc>
        <w:tc>
          <w:tcPr>
            <w:tcW w:w="735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b/>
                <w:sz w:val="22"/>
                <w:szCs w:val="22"/>
                <w:lang w:val="nb-NO"/>
              </w:rPr>
              <w:t>Svega isporuka i ugradnja svetiljki</w:t>
            </w:r>
          </w:p>
        </w:tc>
        <w:tc>
          <w:tcPr>
            <w:tcW w:w="128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nb-NO"/>
              </w:rPr>
            </w:pPr>
          </w:p>
        </w:tc>
      </w:tr>
      <w:tr w:rsidR="00BE1511" w:rsidRPr="00BE1511" w:rsidTr="00BE1511">
        <w:tc>
          <w:tcPr>
            <w:tcW w:w="828"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2.</w:t>
            </w:r>
          </w:p>
        </w:tc>
        <w:tc>
          <w:tcPr>
            <w:tcW w:w="735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b/>
                <w:sz w:val="22"/>
                <w:szCs w:val="22"/>
                <w:lang w:val="nb-NO"/>
              </w:rPr>
              <w:t>Svega isporuka i instalacionog materijala</w:t>
            </w:r>
          </w:p>
        </w:tc>
        <w:tc>
          <w:tcPr>
            <w:tcW w:w="128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nb-NO"/>
              </w:rPr>
            </w:pPr>
          </w:p>
        </w:tc>
      </w:tr>
      <w:tr w:rsidR="00BE1511" w:rsidRPr="00BE1511" w:rsidTr="00BE1511">
        <w:tc>
          <w:tcPr>
            <w:tcW w:w="828"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sz w:val="22"/>
                <w:szCs w:val="22"/>
                <w:lang w:val="nb-NO"/>
              </w:rPr>
              <w:t>3.</w:t>
            </w:r>
          </w:p>
        </w:tc>
        <w:tc>
          <w:tcPr>
            <w:tcW w:w="735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nb-NO"/>
              </w:rPr>
            </w:pPr>
            <w:r w:rsidRPr="00BE1511">
              <w:rPr>
                <w:rFonts w:ascii="Arial" w:hAnsi="Arial" w:cs="Arial"/>
                <w:b/>
                <w:sz w:val="22"/>
                <w:szCs w:val="22"/>
                <w:lang w:val="nb-NO"/>
              </w:rPr>
              <w:t>Svega gromobranska zaštita</w:t>
            </w:r>
          </w:p>
        </w:tc>
        <w:tc>
          <w:tcPr>
            <w:tcW w:w="128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nb-NO"/>
              </w:rPr>
            </w:pPr>
          </w:p>
        </w:tc>
      </w:tr>
      <w:tr w:rsidR="00BE1511" w:rsidRPr="00BE1511" w:rsidTr="00BE1511">
        <w:tc>
          <w:tcPr>
            <w:tcW w:w="828"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sr-Cyrl-RS"/>
              </w:rPr>
            </w:pPr>
            <w:r w:rsidRPr="00BE1511">
              <w:rPr>
                <w:rFonts w:ascii="Arial" w:hAnsi="Arial" w:cs="Arial"/>
                <w:sz w:val="22"/>
                <w:szCs w:val="22"/>
                <w:lang w:val="sr-Cyrl-RS"/>
              </w:rPr>
              <w:t>4</w:t>
            </w:r>
          </w:p>
        </w:tc>
        <w:tc>
          <w:tcPr>
            <w:tcW w:w="735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sz w:val="22"/>
                <w:szCs w:val="22"/>
                <w:lang w:val="nb-NO"/>
              </w:rPr>
            </w:pPr>
            <w:r w:rsidRPr="00BE1511">
              <w:rPr>
                <w:rFonts w:ascii="Arial" w:hAnsi="Arial" w:cs="Arial"/>
                <w:b/>
                <w:bCs/>
                <w:sz w:val="22"/>
                <w:szCs w:val="22"/>
                <w:lang w:val="sr-Latn-RS"/>
              </w:rPr>
              <w:t>Spusni provodnici</w:t>
            </w:r>
          </w:p>
        </w:tc>
        <w:tc>
          <w:tcPr>
            <w:tcW w:w="128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sz w:val="22"/>
                <w:szCs w:val="22"/>
                <w:lang w:val="nb-NO"/>
              </w:rPr>
            </w:pPr>
          </w:p>
        </w:tc>
      </w:tr>
      <w:tr w:rsidR="00BE1511" w:rsidRPr="00BE1511" w:rsidTr="00BE1511">
        <w:tc>
          <w:tcPr>
            <w:tcW w:w="828"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b/>
                <w:sz w:val="22"/>
                <w:szCs w:val="22"/>
                <w:lang w:val="nb-NO"/>
              </w:rPr>
            </w:pPr>
          </w:p>
        </w:tc>
        <w:tc>
          <w:tcPr>
            <w:tcW w:w="7356" w:type="dxa"/>
            <w:tcBorders>
              <w:top w:val="single" w:sz="4" w:space="0" w:color="auto"/>
              <w:left w:val="single" w:sz="4" w:space="0" w:color="auto"/>
              <w:bottom w:val="single" w:sz="4" w:space="0" w:color="auto"/>
              <w:right w:val="single" w:sz="4" w:space="0" w:color="auto"/>
            </w:tcBorders>
            <w:hideMark/>
          </w:tcPr>
          <w:p w:rsidR="00BE1511" w:rsidRPr="00BE1511" w:rsidRDefault="00BE1511" w:rsidP="00BE1511">
            <w:pPr>
              <w:jc w:val="both"/>
              <w:rPr>
                <w:rFonts w:ascii="Arial" w:hAnsi="Arial" w:cs="Arial"/>
                <w:b/>
                <w:sz w:val="22"/>
                <w:szCs w:val="22"/>
                <w:lang w:val="nb-NO"/>
              </w:rPr>
            </w:pPr>
            <w:r w:rsidRPr="00BE1511">
              <w:rPr>
                <w:rFonts w:ascii="Arial" w:hAnsi="Arial" w:cs="Arial"/>
                <w:b/>
                <w:sz w:val="22"/>
                <w:szCs w:val="22"/>
                <w:lang w:val="nb-NO"/>
              </w:rPr>
              <w:t>SVEGA :</w:t>
            </w:r>
          </w:p>
        </w:tc>
        <w:tc>
          <w:tcPr>
            <w:tcW w:w="1284" w:type="dxa"/>
            <w:tcBorders>
              <w:top w:val="single" w:sz="4" w:space="0" w:color="auto"/>
              <w:left w:val="single" w:sz="4" w:space="0" w:color="auto"/>
              <w:bottom w:val="single" w:sz="4" w:space="0" w:color="auto"/>
              <w:right w:val="single" w:sz="4" w:space="0" w:color="auto"/>
            </w:tcBorders>
          </w:tcPr>
          <w:p w:rsidR="00BE1511" w:rsidRPr="00BE1511" w:rsidRDefault="00BE1511" w:rsidP="00BE1511">
            <w:pPr>
              <w:jc w:val="both"/>
              <w:rPr>
                <w:rFonts w:ascii="Arial" w:hAnsi="Arial" w:cs="Arial"/>
                <w:b/>
                <w:sz w:val="22"/>
                <w:szCs w:val="22"/>
                <w:lang w:val="nb-NO"/>
              </w:rPr>
            </w:pPr>
          </w:p>
        </w:tc>
      </w:tr>
    </w:tbl>
    <w:p w:rsidR="00BE1511" w:rsidRPr="00BE1511" w:rsidRDefault="00BE1511" w:rsidP="00BE1511">
      <w:pPr>
        <w:jc w:val="both"/>
        <w:rPr>
          <w:rFonts w:ascii="Arial" w:hAnsi="Arial" w:cs="Arial"/>
          <w:b/>
          <w:sz w:val="22"/>
          <w:szCs w:val="22"/>
          <w:u w:val="single"/>
          <w:lang w:val="sr-Cyrl-RS"/>
        </w:rPr>
      </w:pPr>
    </w:p>
    <w:p w:rsidR="00BE1511" w:rsidRPr="00BE1511" w:rsidRDefault="00BE1511" w:rsidP="00BE1511">
      <w:pPr>
        <w:numPr>
          <w:ilvl w:val="0"/>
          <w:numId w:val="26"/>
        </w:numPr>
        <w:jc w:val="both"/>
        <w:rPr>
          <w:rFonts w:ascii="Arial" w:hAnsi="Arial" w:cs="Arial"/>
          <w:b/>
          <w:sz w:val="22"/>
          <w:szCs w:val="22"/>
          <w:u w:val="single"/>
          <w:lang w:val="sr-Latn-RS"/>
        </w:rPr>
      </w:pPr>
      <w:r w:rsidRPr="00BE1511">
        <w:rPr>
          <w:rFonts w:ascii="Arial" w:hAnsi="Arial" w:cs="Arial"/>
          <w:b/>
          <w:sz w:val="22"/>
          <w:szCs w:val="22"/>
          <w:u w:val="single"/>
          <w:lang w:val="sr-Latn-RS"/>
        </w:rPr>
        <w:t>TELEKOMUNIKACIONE I SIGNALNE INSTALACIJE</w:t>
      </w:r>
    </w:p>
    <w:p w:rsidR="00BE1511" w:rsidRPr="00BE1511" w:rsidRDefault="00BE1511" w:rsidP="00BE1511">
      <w:pPr>
        <w:jc w:val="both"/>
        <w:rPr>
          <w:rFonts w:ascii="Arial" w:hAnsi="Arial" w:cs="Arial"/>
          <w:sz w:val="22"/>
          <w:szCs w:val="22"/>
          <w:lang w:val="en-US"/>
        </w:rPr>
      </w:pPr>
    </w:p>
    <w:tbl>
      <w:tblPr>
        <w:tblW w:w="9060" w:type="dxa"/>
        <w:tblInd w:w="85" w:type="dxa"/>
        <w:tblLook w:val="04A0" w:firstRow="1" w:lastRow="0" w:firstColumn="1" w:lastColumn="0" w:noHBand="0" w:noVBand="1"/>
      </w:tblPr>
      <w:tblGrid>
        <w:gridCol w:w="602"/>
        <w:gridCol w:w="4476"/>
        <w:gridCol w:w="778"/>
        <w:gridCol w:w="1127"/>
        <w:gridCol w:w="1104"/>
        <w:gridCol w:w="1118"/>
      </w:tblGrid>
      <w:tr w:rsidR="00BE1511" w:rsidRPr="00BE1511" w:rsidTr="00BE1511">
        <w:trPr>
          <w:trHeight w:val="540"/>
        </w:trPr>
        <w:tc>
          <w:tcPr>
            <w:tcW w:w="522" w:type="dxa"/>
            <w:tcBorders>
              <w:top w:val="double" w:sz="6" w:space="0" w:color="auto"/>
              <w:left w:val="double" w:sz="6" w:space="0" w:color="auto"/>
              <w:bottom w:val="double" w:sz="6"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Ref.</w:t>
            </w:r>
          </w:p>
        </w:tc>
        <w:tc>
          <w:tcPr>
            <w:tcW w:w="4677" w:type="dxa"/>
            <w:tcBorders>
              <w:top w:val="double" w:sz="6" w:space="0" w:color="auto"/>
              <w:left w:val="nil"/>
              <w:bottom w:val="double" w:sz="6"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Opis pozicije radova</w:t>
            </w:r>
          </w:p>
        </w:tc>
        <w:tc>
          <w:tcPr>
            <w:tcW w:w="616" w:type="dxa"/>
            <w:tcBorders>
              <w:top w:val="double" w:sz="6" w:space="0" w:color="auto"/>
              <w:left w:val="nil"/>
              <w:bottom w:val="double" w:sz="6"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Jedin. mere</w:t>
            </w:r>
          </w:p>
        </w:tc>
        <w:tc>
          <w:tcPr>
            <w:tcW w:w="1164" w:type="dxa"/>
            <w:tcBorders>
              <w:top w:val="double" w:sz="6" w:space="0" w:color="auto"/>
              <w:left w:val="nil"/>
              <w:bottom w:val="double" w:sz="6"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Kol.</w:t>
            </w:r>
          </w:p>
        </w:tc>
        <w:tc>
          <w:tcPr>
            <w:tcW w:w="920" w:type="dxa"/>
            <w:tcBorders>
              <w:top w:val="double" w:sz="6" w:space="0" w:color="auto"/>
              <w:left w:val="nil"/>
              <w:bottom w:val="double" w:sz="6"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Jedinična  cena              </w:t>
            </w:r>
          </w:p>
        </w:tc>
        <w:tc>
          <w:tcPr>
            <w:tcW w:w="1161" w:type="dxa"/>
            <w:tcBorders>
              <w:top w:val="double" w:sz="6" w:space="0" w:color="auto"/>
              <w:left w:val="nil"/>
              <w:bottom w:val="double" w:sz="6" w:space="0" w:color="auto"/>
              <w:right w:val="double" w:sz="6"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Iznos                           </w:t>
            </w:r>
          </w:p>
        </w:tc>
      </w:tr>
      <w:tr w:rsidR="00BE1511" w:rsidRPr="00BE1511" w:rsidTr="00BE1511">
        <w:trPr>
          <w:trHeight w:val="270"/>
        </w:trPr>
        <w:tc>
          <w:tcPr>
            <w:tcW w:w="522" w:type="dxa"/>
            <w:tcBorders>
              <w:top w:val="nil"/>
              <w:left w:val="single" w:sz="4" w:space="0" w:color="auto"/>
              <w:bottom w:val="single" w:sz="4" w:space="0" w:color="auto"/>
              <w:right w:val="nil"/>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i/>
                <w:iCs/>
                <w:sz w:val="22"/>
                <w:szCs w:val="22"/>
                <w:lang w:val="en-US"/>
              </w:rPr>
            </w:pPr>
            <w:r w:rsidRPr="00BE1511">
              <w:rPr>
                <w:rFonts w:ascii="Arial" w:hAnsi="Arial" w:cs="Arial"/>
                <w:i/>
                <w:i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i/>
                <w:iCs/>
                <w:sz w:val="22"/>
                <w:szCs w:val="22"/>
                <w:lang w:val="en-US"/>
              </w:rPr>
            </w:pPr>
            <w:r w:rsidRPr="00BE1511">
              <w:rPr>
                <w:rFonts w:ascii="Arial" w:hAnsi="Arial" w:cs="Arial"/>
                <w:i/>
                <w:i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i/>
                <w:iCs/>
                <w:sz w:val="22"/>
                <w:szCs w:val="22"/>
                <w:lang w:val="en-US"/>
              </w:rPr>
            </w:pPr>
            <w:r w:rsidRPr="00BE1511">
              <w:rPr>
                <w:rFonts w:ascii="Arial" w:hAnsi="Arial" w:cs="Arial"/>
                <w:i/>
                <w:i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A</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xml:space="preserve">Privod TT i optičkog kabla </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Trasiranje rova između objekta koji se rekonstruiše  i objekta KFS-a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27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Ručni iskop TK rova sa čišćenjem i planiranjem rova za izradu TK kanalizacije, sa izradom posteljice od sloja sitnog peska debljine 2x10cm (pre i posle polaganja kablova), sa ručnim istovarom peska:</w:t>
            </w:r>
          </w:p>
        </w:tc>
        <w:tc>
          <w:tcPr>
            <w:tcW w:w="616" w:type="dxa"/>
            <w:tcBorders>
              <w:top w:val="nil"/>
              <w:left w:val="nil"/>
              <w:bottom w:val="nil"/>
              <w:right w:val="single" w:sz="4"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-kapaciteta 2 x PE cevi Ø40mm.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polaganje plastičnih cevi i potrebnim sitnim  materijalom (spojnice, lepak i sl.) za izradu kablovske kanalizacije u već pripremljen TK rov:</w:t>
            </w:r>
          </w:p>
        </w:tc>
        <w:tc>
          <w:tcPr>
            <w:tcW w:w="616" w:type="dxa"/>
            <w:tcBorders>
              <w:top w:val="nil"/>
              <w:left w:val="nil"/>
              <w:bottom w:val="nil"/>
              <w:right w:val="single" w:sz="4"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PE cev Ø40mm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180,00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polaganje upozorne trake.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5</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Ručno zatrpavanje rova peskom i materijalom iz iskopa u slojevima, sa  dovođenjem terena u prvobitno stanje.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r w:rsidRPr="00BE1511">
              <w:rPr>
                <w:rFonts w:ascii="Arial" w:hAnsi="Arial" w:cs="Arial"/>
                <w:sz w:val="22"/>
                <w:szCs w:val="22"/>
                <w:vertAlign w:val="superscript"/>
                <w:lang w:val="en-US"/>
              </w:rPr>
              <w:t>3</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tcPr>
          <w:p w:rsidR="00BE1511" w:rsidRPr="00BE1511" w:rsidRDefault="00BE1511" w:rsidP="00BE1511">
            <w:pPr>
              <w:jc w:val="both"/>
              <w:rPr>
                <w:rFonts w:ascii="Arial" w:hAnsi="Arial" w:cs="Arial"/>
                <w:sz w:val="22"/>
                <w:szCs w:val="22"/>
                <w:lang w:val="sr-Cyrl-RS"/>
              </w:rPr>
            </w:pP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sr-Latn-RS"/>
              </w:rPr>
            </w:pP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sr-Latn-RS"/>
              </w:rPr>
            </w:pP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0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6</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peska.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r w:rsidRPr="00BE1511">
              <w:rPr>
                <w:rFonts w:ascii="Arial" w:hAnsi="Arial" w:cs="Arial"/>
                <w:sz w:val="22"/>
                <w:szCs w:val="22"/>
                <w:vertAlign w:val="superscript"/>
                <w:lang w:val="en-US"/>
              </w:rPr>
              <w:t>3</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3,60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1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7</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Utovar i odvoz viška zemlje i ostalog materijala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r w:rsidRPr="00BE1511">
              <w:rPr>
                <w:rFonts w:ascii="Arial" w:hAnsi="Arial" w:cs="Arial"/>
                <w:sz w:val="22"/>
                <w:szCs w:val="22"/>
                <w:vertAlign w:val="superscript"/>
                <w:lang w:val="en-US"/>
              </w:rPr>
              <w:t>3</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3,60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8</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Polaganje i nabavka PVC štitnika 70x70x1000mm u kanal, iznad kabla.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Geodetska snimanja  sa kartiranjem do 1 km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Izrada tehničke dokumentacije izvedenog stanja za TK kanalizaciju i privodne kablove (tri primerka i elektronska verzija projekta - AUTOCAD i WORD).</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pauš</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11</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polaganje kabla u postavljene cevi i povezivanje na konektorske elemente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TK39P 10x4x0.6mm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3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univerzalni optički loose tube kabl, za unutrašnju / spoljašnju montažu, sa 8 multimodna 50/125 µm vlakna, zaštićen od glodara (presvlakom bez metalnih elemenata), sa omotačem bez halogenih elemenata (LS0H-FRNC)</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12</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Zok kutija sa splajs kasetom za završetak 8 optičkih  vlakana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single" w:sz="4" w:space="0" w:color="auto"/>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13</w:t>
            </w:r>
          </w:p>
        </w:tc>
        <w:tc>
          <w:tcPr>
            <w:tcW w:w="4677" w:type="dxa"/>
            <w:tcBorders>
              <w:top w:val="single" w:sz="4" w:space="0" w:color="auto"/>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Ispitivanje FO linije OTDR po paru vlakana.</w:t>
            </w:r>
          </w:p>
        </w:tc>
        <w:tc>
          <w:tcPr>
            <w:tcW w:w="616"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8,00</w:t>
            </w:r>
          </w:p>
        </w:tc>
        <w:tc>
          <w:tcPr>
            <w:tcW w:w="920"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8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14</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Sitan potrošni materijal.</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pauš</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UKUPNO A:</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B</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Sistem za detekciju i dojavu požara</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r>
      <w:tr w:rsidR="00BE1511" w:rsidRPr="00BE1511" w:rsidTr="00BE1511">
        <w:trPr>
          <w:trHeight w:val="510"/>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NAPOMENA:</w:t>
            </w:r>
            <w:r w:rsidRPr="00BE1511">
              <w:rPr>
                <w:rFonts w:ascii="Arial" w:hAnsi="Arial" w:cs="Arial"/>
                <w:b/>
                <w:bCs/>
                <w:sz w:val="22"/>
                <w:szCs w:val="22"/>
                <w:lang w:val="en-US"/>
              </w:rPr>
              <w:br/>
              <w:t>Koriste se postojeći ručni javljači i sirene</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27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montaža i povezivanje adresabilnog višekriterijumskog javljača dima sa podnožjem i ugrađenim izolatorom petlje, tip MCD573X/USB501-1  Securiton, Švajcarska. Softverski programiran da radi kao optički javljač.</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38,00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montaža i povezivanje duct detektora sa kućištem i ugrađenim izolatorom petlje, tip LKM 531/SSD531K  Securiton, Švajcarska.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3</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montaža i povezivanje ulazno/izlaznog adresabilnog modula (1 izlaz, 2 ulaza), tip SDI82X-1+COM81  Securiton, Švajcarska.</w:t>
            </w:r>
            <w:r w:rsidRPr="00BE1511">
              <w:rPr>
                <w:rFonts w:ascii="Arial" w:hAnsi="Arial" w:cs="Arial"/>
                <w:sz w:val="22"/>
                <w:szCs w:val="22"/>
                <w:lang w:val="en-US"/>
              </w:rPr>
              <w:br/>
              <w:t>komplet</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53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w:t>
            </w:r>
          </w:p>
        </w:tc>
        <w:tc>
          <w:tcPr>
            <w:tcW w:w="4677" w:type="dxa"/>
            <w:tcBorders>
              <w:top w:val="single" w:sz="4" w:space="0" w:color="auto"/>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montaža i povezivanje razvodnog ormana, u IP 65 zaštiti, za nastavljanje i zatvaranje adresabilnih petlji. Orman je za nazidnu montažu, od dva puta dekapiranog lima, dimenzija (ŠxVxD) 200x400x200mm, sa vratima i ključem, sa metalnom montažnom pločom.</w:t>
            </w:r>
          </w:p>
        </w:tc>
        <w:tc>
          <w:tcPr>
            <w:tcW w:w="616"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5</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Paralelni indikator tip RAL 720 Securiton Švajcarska.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13,00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78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6</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montaža i povezivanje razvodnog ormana  za napajanje i aktiviranje alarmnih sirena u izdvojenim objektima, za nastavljanje i zatvaranje adresabilnih petlji. Orman je za nazidnu montažu, od dva puta dekapiranog lima, dimenzija (ŠxVxD) 400x400x200mm, sa vratima i ključem, sa metalnom montažnom pločom.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27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7</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Kabl tipa J-H(St)H 2x2x0.8 mm za povezivanje javljača i  međusobno i sa centralom. Postavljen najvećim delom u  spuštenoj tavanici, a delimično kroz gibljive instalacione PVC cevi. Isporuka, montaža i povezivanje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250,00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8</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i montaža kabla tip JE-H(St)H FE180/E30 2x2x0.8 mm za povezivanje alarmne sirene. Postavlja se najvećim delom u spuštenoj tavanici. Isporuka, montaža i povezivanje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175,00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40"/>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i montaža kabla tip NHXHX 2x1,5mm2 FE90/E30 za povezivanje alarmne sirene. Postavlja se najvećim delom u spuštenoj tavanici. Isporuka, montaža i povezivanje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40"/>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27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Kabl tipa TK39P 10x4x0,8 mm za povezivanje razvodnog ormana i pomoćne razvodne kutije. Postavlja se većim delom u kablovskim regalima, a delimično kroz gibljive instalacione PVC cevi, metalno gibljivo crevo, zaštitne metalne cevi ½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0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11</w:t>
            </w:r>
          </w:p>
        </w:tc>
        <w:tc>
          <w:tcPr>
            <w:tcW w:w="4677"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Gibljiva instalaciona PVC cev, Halogen free, ø16mm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12</w:t>
            </w:r>
          </w:p>
        </w:tc>
        <w:tc>
          <w:tcPr>
            <w:tcW w:w="4677"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Metalna cev 1 1/2’’. Nabavka, isporuka i ugradnja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13</w:t>
            </w:r>
          </w:p>
        </w:tc>
        <w:tc>
          <w:tcPr>
            <w:tcW w:w="4677"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SAPA crevo 1 1/2". Nabavka, isporuka i ugradnja.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14</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Demontaža automatskih i ručnih javljača požara i drugih elemenata postojećeg sistema za dojavu požara: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13,00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w:t>
            </w:r>
          </w:p>
        </w:tc>
        <w:tc>
          <w:tcPr>
            <w:tcW w:w="4677" w:type="dxa"/>
            <w:tcBorders>
              <w:top w:val="nil"/>
              <w:left w:val="nil"/>
              <w:bottom w:val="nil"/>
              <w:right w:val="single" w:sz="4" w:space="0" w:color="auto"/>
            </w:tcBorders>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Montaža i povezivanje postojeće opreme (postojeći javljači požara). Postavljanje oznaka na elemente dojave požara.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kpl.</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530"/>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16</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Provera ispravnosti izvedene instalacije, funkcionalno ispitivanje, unošenje izmena u softver i puštanje u rad sistema. Izrada projekta izvedenih instalacija sistema za detekciju i dojavu požara (tri primerka i elektronska verzija projekta - AUTOCAD i WORD).</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kpl.</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693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17</w:t>
            </w:r>
          </w:p>
        </w:tc>
        <w:tc>
          <w:tcPr>
            <w:tcW w:w="4677" w:type="dxa"/>
            <w:tcBorders>
              <w:top w:val="single" w:sz="4" w:space="0" w:color="auto"/>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Konvencionalna protivpožarna centrala sa povezivanje dve automatske zone optičkih detektora i ručnih tastera za aktiviranje, blokadu i zadršku gašenja. Do 30 uređaja mogu da se vežu po jednoj zoni: konvencionalni protivpožarni detektori, ručni javljači, itd. Dva nadgledana 24V alarma izlaza za aktivaciju piezo-električnih sirena, požarnih zvona i blicera. jedan za predalarm, drugi za alarm, relejni izlaz alarm (FIRE) relejni izlaz greške (TROUBLE) za aktivaciju signalnih i spoljašnjih uređaja, dan/noć režim rada.  Na samoj centrali postoji taster za aktiviranje gašenja. Ulaz za priključenje informacije o otvorenosto vrata, izlaz za komandovanje ventilacijom, izlaz za aktiviranje gašenja, ulaz za kontrolu napunjenosti boca. Vreme za verifikaciju alarma, programiranje putem tastature panela ili preko računara (RS-232). Alarm/greška memorisana do sledećeg reseta. Panel pamti do 50 događaja koji se mogu pregledati preko računara. Komanda za isključivanje sirena, komandovanje tastaturom na osnovu ključa ili pin koda.</w:t>
            </w:r>
            <w:r w:rsidRPr="00BE1511">
              <w:rPr>
                <w:rFonts w:ascii="Arial" w:hAnsi="Arial" w:cs="Arial"/>
                <w:sz w:val="22"/>
                <w:szCs w:val="22"/>
                <w:lang w:val="en-US"/>
              </w:rPr>
              <w:br w:type="page"/>
              <w:t xml:space="preserve">Centrala treba da ima sopstvenu memoriju za čuvanje istorije događaja kao i </w:t>
            </w:r>
            <w:r w:rsidRPr="00BE1511">
              <w:rPr>
                <w:rFonts w:ascii="Arial" w:hAnsi="Arial" w:cs="Arial"/>
                <w:sz w:val="22"/>
                <w:szCs w:val="22"/>
                <w:lang w:val="en-US"/>
              </w:rPr>
              <w:lastRenderedPageBreak/>
              <w:t>mogućnost izčitavanja iste na računar.Slična tipu CCD-103EXT proizvođača Detnov Španija.  Izvedba kućišta u IP43 zaštiti u skladu sa SRPS EN 60529.</w:t>
            </w:r>
            <w:r w:rsidRPr="00BE1511">
              <w:rPr>
                <w:rFonts w:ascii="Arial" w:hAnsi="Arial" w:cs="Arial"/>
                <w:sz w:val="22"/>
                <w:szCs w:val="22"/>
                <w:lang w:val="en-US"/>
              </w:rPr>
              <w:br w:type="page"/>
              <w:t>Podcentrala za kontrolu gašenja treba da poseduje standard EN 12094-1 i SRPS EN54 2,4.</w:t>
            </w:r>
          </w:p>
        </w:tc>
        <w:tc>
          <w:tcPr>
            <w:tcW w:w="616"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kom</w:t>
            </w:r>
          </w:p>
        </w:tc>
        <w:tc>
          <w:tcPr>
            <w:tcW w:w="1164"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single" w:sz="4" w:space="0" w:color="auto"/>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 </w:t>
            </w:r>
          </w:p>
        </w:tc>
        <w:tc>
          <w:tcPr>
            <w:tcW w:w="4677"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18</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Akumulator 12V, 7Ah.  Uređaj treba da bude u skladu sa SRPS EN 60086 propisom. Sličan tipu AMD-7.</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29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19</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Isporuka i ugradnja pomoćnog razvodnog ormana od dva puta dekapiranog lima, sa vratima bravom i kljucem 300x200x150mm. Sa prostorom za smeštanje po 3 ulazno-izlaznih modula tipa NTN-EV-AIO. Sa uvodnicama I jednom regletom 10x2 za aranžiranje kablova.  Izvedba kućišta u IP45 zaštiti. Predviđeno za postavljanje ispod, odnosno u blizini svake podcentrale za kontrolu gašenja i kod ormana klimatizacije.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Konvencionalni ručni javljač u žutoj boji za aktiviranje gašenja sa tasterom i zaštitnim staklom. Izvedba kućišta u IP43 zaštiti . Sličan tipu RP-RS-01 Nittan Japan.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21</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Konvencionalni ručni javljač u plavoj boji sa tasterom i zaštitnim staklom. Izvedba kućišta u IP43 zaštiti. Sličan tipu RP-RS-01 </w:t>
            </w:r>
            <w:r w:rsidRPr="00BE1511">
              <w:rPr>
                <w:rFonts w:ascii="Arial" w:hAnsi="Arial" w:cs="Arial"/>
                <w:sz w:val="22"/>
                <w:szCs w:val="22"/>
                <w:lang w:val="en-US"/>
              </w:rPr>
              <w:lastRenderedPageBreak/>
              <w:t xml:space="preserve">Nittan Japan.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22</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Konvencionalni ručni javljač u beloj boji  sa tasterom i zaštitnim staklom. Izvedba kućišta u IP43 zaštiti. Sličan tipu RP-RS-01 Nittan Japan.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04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23</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Alarmna sirena za unutrašnju montažu, radni napon 24Vdc, potrošnja probližno 18mA, jačina zvuka zavisno od izabranog tona 100dB/1m. Sirena je sa mogućnošću izbora 32 alarmna tona. Montira se unutar štićene prostorije na zid, iznad vrata.  Uređaj treba da poseduje EN 54-3 atest. Slična tipu tipa PSS-03 Sonos Klaxon Velika Britanija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04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24</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Alarmnih sirena sa integrisanom bljeskalicom, radni napon 24Vdc, potrošnja probližno 36mA, zavisno od izabranog tona, jačina zvuka 100dB/1m. rena je sa mogućnošću izbora 32 alarmna tona. Montira se unutar štićene prostorije na zid, iznad vrata.  Uređaj treba da poseduje EN 54-3 atest. Slična tipu PSC-27 Sonos Klaxon Velika Britanija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25</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Upozoravajući svetleći pano, 24V, sa natpisom "GAS!". Montira se na zid iznad vrata štićene prostorije. Sličan tipu 5055 Cooper menvier.</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80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26</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Adresabilni ulazno-izlazni modul sa po jednim ulazom i jednim izlazom, dve adrese na petlji. Predviđen za povezivanje na postojeći adresabilni sistem u objektu podcentrale za kontrolu gašenja i  prenos infomacije za isključenje ormanu klimatizacije RO-KL. Radni napon 17-28V DC, struja u mirnom stanju 0,3mA, struja u alarmnom stanju 3mA. Ovi moduli će biti montirani u zaseban razvodni orman predviđen da bude montiran ispod odnosno u blizini podcentrale za kontrolu gašenja.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04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27</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Dodatni rele tipa Schrack RT424024, sa postoljem za montažu yrt78626 i zaštitnom diodom zrd 024A ili slično. Za prosleđivanje signala za otvaranje odogovarajućeg sektorskog ventila. Predviđen za montažu zajedno sa dodatnom napojnom jedinicom i rezervnim baterijama u zasebnom ormanu u blizini boca. Signal o proradi dobija sa odgovarajuće podcentrale za kontrolu gašenja.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UKUPNO B:</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C</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Strukturni kablovski sistem</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i/>
                <w:iCs/>
                <w:sz w:val="22"/>
                <w:szCs w:val="22"/>
                <w:lang w:val="en-US"/>
              </w:rPr>
            </w:pPr>
            <w:r w:rsidRPr="00BE1511">
              <w:rPr>
                <w:rFonts w:ascii="Arial" w:hAnsi="Arial" w:cs="Arial"/>
                <w:b/>
                <w:bCs/>
                <w:i/>
                <w:i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53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Nabavka, isporuka i montaža 19" rack ormana oznake u projektu FD, nazidni,  dimenzija osnove 600x600 mm, visine 12U, sa staklenim vratima sa bravom, 19" nosećim ramom, sa mogućnošću da se bočne strane skidaju. Orman treba da bude opremljen sledećom opremom: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ventilatorom,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kanalom za vertikalno vođenje kablova u ormanu,</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napojnom šinom sa minimalno 7 utičnica 230Vac, 50Hz  i prenaponskom zaštitom, sa prekidačem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- 4 KRONE reglete sa nosačem,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opremom za obeležavanje i uzemljenje ormana,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 - ostalom nespecificiranom neophodnom opremom za montažu (šrafovi, šine, police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montaža.</w:t>
            </w:r>
            <w:r w:rsidRPr="00BE1511">
              <w:rPr>
                <w:rFonts w:ascii="Arial" w:hAnsi="Arial" w:cs="Arial"/>
                <w:sz w:val="22"/>
                <w:szCs w:val="22"/>
                <w:lang w:val="en-US"/>
              </w:rPr>
              <w:br/>
              <w:t>Komplet</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400,00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Patch panel 19'', 1 HU (tip kao PANDUIT CBX2AW-A), sa ekipiranih 24xRJ45 konektora Cat 6 STP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montaža panela u rack orman i konektovanje RJ-45 modula na kablovsku instalaciju.</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220,00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FO panel 19" visine 1HU sa kompletom za montažu (pigteil, češalj, kaseta i ostalo) sa 8x SC Duplex multimodnim modulom.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montaža u rack orman, povezivanje na kablovsku instalaciju, formiranje rezerve FO kabla i splice-ovanje FO vlakana.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140,00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24-portni PoE switch, sa još 2 kombo porta (dual purpose), tip kao CISCO SWITCH WS-C2960-24PC-L i jedan optički modul, tip kao CISCO GLC-SX-MM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5</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Telekomunikaciona utičnica za montažu u zid (tip kao PANDUIT CBX2AW-A), koja se sastoji od 2 modula RJ45, FTP Cat6 (tip kao PANDUIT CJS688T3), adaptera za module, maske i dozne.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povezivanje modula na kablovsku instalaciju i montaža utičnice.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6,00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25,00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6</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Instalacioni kabl tipa FTP 4x2xAWG23 Cat.6, sa omotačem bez halogenih elemenata (LS0H).</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povezivanje</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170,00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0,60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76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7</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ugradnja kabla tipa J-H(St)H 5x2x0.6 mm postavljen kroz gibljive instalacione PVC cevi</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3,40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8</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ugradnja kabla Patch cord S-FTP cat.6 , 1m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16,00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02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9</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Nabavka, isporuka i postavljanje instalacionih cevi za razvod instalacija delom ispod završne obrade zida ili nazidno pomoću obujmica. Cevi su  unutrašnjeg prečnika: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Ø23mm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40,00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ugradnja PNK regala 200mm x 50mm, sa spojnicama, nosačima i poklopcem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25,00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11</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Nabavka, isporuka i ugradnja PNK regala 100mm x 50mm, sa spojnicama, nosačima i poklopcem</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25,00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12</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Ispitivanje linkova i atestiranje linija.</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kom</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12,00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3,00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510"/>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13</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Nespecifirani radovi (kopanje, šlicovanje, bušenje, krpljenje ...) i sitan potrošni materijal.</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xml:space="preserve">pauš. </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150,00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1275"/>
        </w:trPr>
        <w:tc>
          <w:tcPr>
            <w:tcW w:w="522" w:type="dxa"/>
            <w:tcBorders>
              <w:top w:val="nil"/>
              <w:left w:val="single" w:sz="4" w:space="0" w:color="auto"/>
              <w:bottom w:val="nil"/>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lastRenderedPageBreak/>
              <w:t>14</w:t>
            </w:r>
          </w:p>
        </w:tc>
        <w:tc>
          <w:tcPr>
            <w:tcW w:w="4677" w:type="dxa"/>
            <w:tcBorders>
              <w:top w:val="nil"/>
              <w:left w:val="nil"/>
              <w:bottom w:val="nil"/>
              <w:right w:val="single" w:sz="4" w:space="0" w:color="auto"/>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Završna električna merenja, izdavanje atesta, obuka korisnika, unošenje svih izmena i izrada tehničke dokumentacije izvedenog stanja u tri primerka i elektronska verzija projekta - AUTOCAD i WORD, .</w:t>
            </w:r>
          </w:p>
        </w:tc>
        <w:tc>
          <w:tcPr>
            <w:tcW w:w="616"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pauš.</w:t>
            </w:r>
          </w:p>
        </w:tc>
        <w:tc>
          <w:tcPr>
            <w:tcW w:w="1164"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1,00</w:t>
            </w:r>
          </w:p>
        </w:tc>
        <w:tc>
          <w:tcPr>
            <w:tcW w:w="920"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200,00</w:t>
            </w:r>
          </w:p>
        </w:tc>
        <w:tc>
          <w:tcPr>
            <w:tcW w:w="1161" w:type="dxa"/>
            <w:tcBorders>
              <w:top w:val="nil"/>
              <w:left w:val="nil"/>
              <w:bottom w:val="nil"/>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UKUPNO C:</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315"/>
        </w:trPr>
        <w:tc>
          <w:tcPr>
            <w:tcW w:w="522" w:type="dxa"/>
            <w:tcBorders>
              <w:top w:val="nil"/>
              <w:left w:val="single" w:sz="4" w:space="0" w:color="auto"/>
              <w:bottom w:val="single" w:sz="4" w:space="0" w:color="auto"/>
              <w:right w:val="single" w:sz="4" w:space="0" w:color="auto"/>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616"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4"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920" w:type="dxa"/>
            <w:tcBorders>
              <w:top w:val="nil"/>
              <w:left w:val="nil"/>
              <w:bottom w:val="single" w:sz="4" w:space="0" w:color="auto"/>
              <w:right w:val="nil"/>
            </w:tcBorders>
            <w:noWrap/>
            <w:vAlign w:val="center"/>
            <w:hideMark/>
          </w:tcPr>
          <w:p w:rsidR="00BE1511" w:rsidRPr="00BE1511" w:rsidRDefault="00BE1511" w:rsidP="00BE1511">
            <w:pPr>
              <w:jc w:val="both"/>
              <w:rPr>
                <w:rFonts w:ascii="Arial" w:hAnsi="Arial" w:cs="Arial"/>
                <w:sz w:val="22"/>
                <w:szCs w:val="22"/>
                <w:lang w:val="en-US"/>
              </w:rPr>
            </w:pPr>
            <w:r w:rsidRPr="00BE1511">
              <w:rPr>
                <w:rFonts w:ascii="Arial" w:hAnsi="Arial" w:cs="Arial"/>
                <w:sz w:val="22"/>
                <w:szCs w:val="22"/>
                <w:lang w:val="en-US"/>
              </w:rPr>
              <w:t> </w:t>
            </w:r>
          </w:p>
        </w:tc>
        <w:tc>
          <w:tcPr>
            <w:tcW w:w="1161" w:type="dxa"/>
            <w:tcBorders>
              <w:top w:val="nil"/>
              <w:left w:val="nil"/>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noWrap/>
            <w:hideMark/>
          </w:tcPr>
          <w:p w:rsidR="00BE1511" w:rsidRPr="00BE1511" w:rsidRDefault="00BE1511" w:rsidP="00BE1511">
            <w:pPr>
              <w:jc w:val="both"/>
              <w:rPr>
                <w:rFonts w:ascii="Arial" w:hAnsi="Arial" w:cs="Arial"/>
                <w:sz w:val="22"/>
                <w:szCs w:val="22"/>
                <w:lang w:val="sr-Latn-RS"/>
              </w:rPr>
            </w:pPr>
          </w:p>
        </w:tc>
        <w:tc>
          <w:tcPr>
            <w:tcW w:w="4677" w:type="dxa"/>
            <w:hideMark/>
          </w:tcPr>
          <w:p w:rsidR="00BE1511" w:rsidRPr="00BE1511" w:rsidRDefault="00BE1511" w:rsidP="00BE1511">
            <w:pPr>
              <w:jc w:val="both"/>
              <w:rPr>
                <w:rFonts w:ascii="Arial" w:hAnsi="Arial" w:cs="Arial"/>
                <w:sz w:val="22"/>
                <w:szCs w:val="22"/>
                <w:lang w:val="sr-Latn-RS"/>
              </w:rPr>
            </w:pPr>
          </w:p>
        </w:tc>
        <w:tc>
          <w:tcPr>
            <w:tcW w:w="616" w:type="dxa"/>
            <w:noWrap/>
            <w:hideMark/>
          </w:tcPr>
          <w:p w:rsidR="00BE1511" w:rsidRPr="00BE1511" w:rsidRDefault="00BE1511" w:rsidP="00BE1511">
            <w:pPr>
              <w:jc w:val="both"/>
              <w:rPr>
                <w:rFonts w:ascii="Arial" w:hAnsi="Arial" w:cs="Arial"/>
                <w:sz w:val="22"/>
                <w:szCs w:val="22"/>
                <w:lang w:val="sr-Latn-RS"/>
              </w:rPr>
            </w:pPr>
          </w:p>
        </w:tc>
        <w:tc>
          <w:tcPr>
            <w:tcW w:w="1164" w:type="dxa"/>
            <w:noWrap/>
            <w:hideMark/>
          </w:tcPr>
          <w:p w:rsidR="00BE1511" w:rsidRPr="00BE1511" w:rsidRDefault="00BE1511" w:rsidP="00BE1511">
            <w:pPr>
              <w:jc w:val="both"/>
              <w:rPr>
                <w:rFonts w:ascii="Arial" w:hAnsi="Arial" w:cs="Arial"/>
                <w:sz w:val="22"/>
                <w:szCs w:val="22"/>
                <w:lang w:val="sr-Latn-RS"/>
              </w:rPr>
            </w:pPr>
          </w:p>
        </w:tc>
        <w:tc>
          <w:tcPr>
            <w:tcW w:w="920" w:type="dxa"/>
            <w:noWrap/>
            <w:hideMark/>
          </w:tcPr>
          <w:p w:rsidR="00BE1511" w:rsidRPr="00BE1511" w:rsidRDefault="00BE1511" w:rsidP="00BE1511">
            <w:pPr>
              <w:jc w:val="both"/>
              <w:rPr>
                <w:rFonts w:ascii="Arial" w:hAnsi="Arial" w:cs="Arial"/>
                <w:sz w:val="22"/>
                <w:szCs w:val="22"/>
                <w:lang w:val="sr-Latn-RS"/>
              </w:rPr>
            </w:pPr>
          </w:p>
        </w:tc>
        <w:tc>
          <w:tcPr>
            <w:tcW w:w="1161" w:type="dxa"/>
            <w:noWrap/>
            <w:vAlign w:val="bottom"/>
            <w:hideMark/>
          </w:tcPr>
          <w:p w:rsidR="00BE1511" w:rsidRPr="00BE1511" w:rsidRDefault="00BE1511" w:rsidP="00BE1511">
            <w:pPr>
              <w:jc w:val="both"/>
              <w:rPr>
                <w:rFonts w:ascii="Arial" w:hAnsi="Arial" w:cs="Arial"/>
                <w:sz w:val="22"/>
                <w:szCs w:val="22"/>
                <w:lang w:val="sr-Latn-RS"/>
              </w:rPr>
            </w:pPr>
          </w:p>
        </w:tc>
      </w:tr>
      <w:tr w:rsidR="00BE1511" w:rsidRPr="00BE1511" w:rsidTr="00BE1511">
        <w:trPr>
          <w:trHeight w:val="255"/>
        </w:trPr>
        <w:tc>
          <w:tcPr>
            <w:tcW w:w="522" w:type="dxa"/>
            <w:noWrap/>
            <w:hideMark/>
          </w:tcPr>
          <w:p w:rsidR="00BE1511" w:rsidRPr="00BE1511" w:rsidRDefault="00BE1511" w:rsidP="00BE1511">
            <w:pPr>
              <w:jc w:val="both"/>
              <w:rPr>
                <w:rFonts w:ascii="Arial" w:hAnsi="Arial" w:cs="Arial"/>
                <w:sz w:val="22"/>
                <w:szCs w:val="22"/>
                <w:lang w:val="sr-Latn-RS"/>
              </w:rPr>
            </w:pPr>
          </w:p>
        </w:tc>
        <w:tc>
          <w:tcPr>
            <w:tcW w:w="4677" w:type="dxa"/>
            <w:hideMark/>
          </w:tcPr>
          <w:p w:rsidR="00BE1511" w:rsidRPr="00BE1511" w:rsidRDefault="00BE1511" w:rsidP="00BE1511">
            <w:pPr>
              <w:jc w:val="both"/>
              <w:rPr>
                <w:rFonts w:ascii="Arial" w:hAnsi="Arial" w:cs="Arial"/>
                <w:sz w:val="22"/>
                <w:szCs w:val="22"/>
                <w:lang w:val="sr-Latn-RS"/>
              </w:rPr>
            </w:pPr>
          </w:p>
        </w:tc>
        <w:tc>
          <w:tcPr>
            <w:tcW w:w="616" w:type="dxa"/>
            <w:noWrap/>
            <w:hideMark/>
          </w:tcPr>
          <w:p w:rsidR="00BE1511" w:rsidRPr="00BE1511" w:rsidRDefault="00BE1511" w:rsidP="00BE1511">
            <w:pPr>
              <w:jc w:val="both"/>
              <w:rPr>
                <w:rFonts w:ascii="Arial" w:hAnsi="Arial" w:cs="Arial"/>
                <w:sz w:val="22"/>
                <w:szCs w:val="22"/>
                <w:lang w:val="sr-Latn-RS"/>
              </w:rPr>
            </w:pPr>
          </w:p>
        </w:tc>
        <w:tc>
          <w:tcPr>
            <w:tcW w:w="1164" w:type="dxa"/>
            <w:noWrap/>
            <w:hideMark/>
          </w:tcPr>
          <w:p w:rsidR="00BE1511" w:rsidRPr="00BE1511" w:rsidRDefault="00BE1511" w:rsidP="00BE1511">
            <w:pPr>
              <w:jc w:val="both"/>
              <w:rPr>
                <w:rFonts w:ascii="Arial" w:hAnsi="Arial" w:cs="Arial"/>
                <w:sz w:val="22"/>
                <w:szCs w:val="22"/>
                <w:lang w:val="sr-Latn-RS"/>
              </w:rPr>
            </w:pPr>
          </w:p>
        </w:tc>
        <w:tc>
          <w:tcPr>
            <w:tcW w:w="920" w:type="dxa"/>
            <w:noWrap/>
            <w:hideMark/>
          </w:tcPr>
          <w:p w:rsidR="00BE1511" w:rsidRPr="00BE1511" w:rsidRDefault="00BE1511" w:rsidP="00BE1511">
            <w:pPr>
              <w:jc w:val="both"/>
              <w:rPr>
                <w:rFonts w:ascii="Arial" w:hAnsi="Arial" w:cs="Arial"/>
                <w:sz w:val="22"/>
                <w:szCs w:val="22"/>
                <w:lang w:val="sr-Latn-RS"/>
              </w:rPr>
            </w:pPr>
          </w:p>
        </w:tc>
        <w:tc>
          <w:tcPr>
            <w:tcW w:w="1161" w:type="dxa"/>
            <w:noWrap/>
            <w:vAlign w:val="bottom"/>
            <w:hideMark/>
          </w:tcPr>
          <w:p w:rsidR="00BE1511" w:rsidRPr="00BE1511" w:rsidRDefault="00BE1511" w:rsidP="00BE1511">
            <w:pPr>
              <w:jc w:val="both"/>
              <w:rPr>
                <w:rFonts w:ascii="Arial" w:hAnsi="Arial" w:cs="Arial"/>
                <w:sz w:val="22"/>
                <w:szCs w:val="22"/>
                <w:lang w:val="sr-Latn-RS"/>
              </w:rPr>
            </w:pPr>
          </w:p>
        </w:tc>
      </w:tr>
      <w:tr w:rsidR="00BE1511" w:rsidRPr="00BE1511" w:rsidTr="00BE1511">
        <w:trPr>
          <w:trHeight w:val="255"/>
        </w:trPr>
        <w:tc>
          <w:tcPr>
            <w:tcW w:w="9060" w:type="dxa"/>
            <w:gridSpan w:val="6"/>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REKAPITULACIJA</w:t>
            </w:r>
          </w:p>
        </w:tc>
      </w:tr>
      <w:tr w:rsidR="00BE1511" w:rsidRPr="00BE1511" w:rsidTr="00BE1511">
        <w:trPr>
          <w:trHeight w:val="255"/>
        </w:trPr>
        <w:tc>
          <w:tcPr>
            <w:tcW w:w="522" w:type="dxa"/>
            <w:noWrap/>
            <w:hideMark/>
          </w:tcPr>
          <w:p w:rsidR="00BE1511" w:rsidRPr="00BE1511" w:rsidRDefault="00BE1511" w:rsidP="00BE1511">
            <w:pPr>
              <w:jc w:val="both"/>
              <w:rPr>
                <w:rFonts w:ascii="Arial" w:hAnsi="Arial" w:cs="Arial"/>
                <w:sz w:val="22"/>
                <w:szCs w:val="22"/>
                <w:lang w:val="sr-Latn-RS"/>
              </w:rPr>
            </w:pPr>
          </w:p>
        </w:tc>
        <w:tc>
          <w:tcPr>
            <w:tcW w:w="4677" w:type="dxa"/>
            <w:hideMark/>
          </w:tcPr>
          <w:p w:rsidR="00BE1511" w:rsidRPr="00BE1511" w:rsidRDefault="00BE1511" w:rsidP="00BE1511">
            <w:pPr>
              <w:jc w:val="both"/>
              <w:rPr>
                <w:rFonts w:ascii="Arial" w:hAnsi="Arial" w:cs="Arial"/>
                <w:sz w:val="22"/>
                <w:szCs w:val="22"/>
                <w:lang w:val="sr-Latn-RS"/>
              </w:rPr>
            </w:pPr>
          </w:p>
        </w:tc>
        <w:tc>
          <w:tcPr>
            <w:tcW w:w="616" w:type="dxa"/>
            <w:noWrap/>
            <w:hideMark/>
          </w:tcPr>
          <w:p w:rsidR="00BE1511" w:rsidRPr="00BE1511" w:rsidRDefault="00BE1511" w:rsidP="00BE1511">
            <w:pPr>
              <w:jc w:val="both"/>
              <w:rPr>
                <w:rFonts w:ascii="Arial" w:hAnsi="Arial" w:cs="Arial"/>
                <w:sz w:val="22"/>
                <w:szCs w:val="22"/>
                <w:lang w:val="sr-Latn-RS"/>
              </w:rPr>
            </w:pPr>
          </w:p>
        </w:tc>
        <w:tc>
          <w:tcPr>
            <w:tcW w:w="1164" w:type="dxa"/>
            <w:noWrap/>
            <w:hideMark/>
          </w:tcPr>
          <w:p w:rsidR="00BE1511" w:rsidRPr="00BE1511" w:rsidRDefault="00BE1511" w:rsidP="00BE1511">
            <w:pPr>
              <w:jc w:val="both"/>
              <w:rPr>
                <w:rFonts w:ascii="Arial" w:hAnsi="Arial" w:cs="Arial"/>
                <w:sz w:val="22"/>
                <w:szCs w:val="22"/>
                <w:lang w:val="sr-Latn-RS"/>
              </w:rPr>
            </w:pPr>
          </w:p>
        </w:tc>
        <w:tc>
          <w:tcPr>
            <w:tcW w:w="920" w:type="dxa"/>
            <w:noWrap/>
            <w:hideMark/>
          </w:tcPr>
          <w:p w:rsidR="00BE1511" w:rsidRPr="00BE1511" w:rsidRDefault="00BE1511" w:rsidP="00BE1511">
            <w:pPr>
              <w:jc w:val="both"/>
              <w:rPr>
                <w:rFonts w:ascii="Arial" w:hAnsi="Arial" w:cs="Arial"/>
                <w:sz w:val="22"/>
                <w:szCs w:val="22"/>
                <w:lang w:val="sr-Latn-RS"/>
              </w:rPr>
            </w:pPr>
          </w:p>
        </w:tc>
        <w:tc>
          <w:tcPr>
            <w:tcW w:w="1161" w:type="dxa"/>
            <w:noWrap/>
            <w:vAlign w:val="bottom"/>
            <w:hideMark/>
          </w:tcPr>
          <w:p w:rsidR="00BE1511" w:rsidRPr="00BE1511" w:rsidRDefault="00BE1511" w:rsidP="00BE1511">
            <w:pPr>
              <w:jc w:val="both"/>
              <w:rPr>
                <w:rFonts w:ascii="Arial" w:hAnsi="Arial" w:cs="Arial"/>
                <w:sz w:val="22"/>
                <w:szCs w:val="22"/>
                <w:lang w:val="sr-Latn-RS"/>
              </w:rPr>
            </w:pPr>
          </w:p>
        </w:tc>
      </w:tr>
      <w:tr w:rsidR="00BE1511" w:rsidRPr="00BE1511" w:rsidTr="00BE1511">
        <w:trPr>
          <w:trHeight w:val="255"/>
        </w:trPr>
        <w:tc>
          <w:tcPr>
            <w:tcW w:w="522" w:type="dxa"/>
            <w:tcBorders>
              <w:top w:val="single" w:sz="4" w:space="0" w:color="auto"/>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A</w:t>
            </w:r>
          </w:p>
        </w:tc>
        <w:tc>
          <w:tcPr>
            <w:tcW w:w="4677" w:type="dxa"/>
            <w:tcBorders>
              <w:top w:val="single" w:sz="4" w:space="0" w:color="auto"/>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xml:space="preserve">Privod TT i optičkog kabla </w:t>
            </w:r>
          </w:p>
        </w:tc>
        <w:tc>
          <w:tcPr>
            <w:tcW w:w="616" w:type="dxa"/>
            <w:tcBorders>
              <w:top w:val="single" w:sz="4" w:space="0" w:color="auto"/>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single" w:sz="4" w:space="0" w:color="auto"/>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920" w:type="dxa"/>
            <w:tcBorders>
              <w:top w:val="single" w:sz="4" w:space="0" w:color="auto"/>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single" w:sz="4" w:space="0" w:color="auto"/>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B</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Sistem za detekciju i dojavu požara</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C</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Strukturni kablovski sistem</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tcBorders>
              <w:top w:val="nil"/>
              <w:left w:val="single" w:sz="4" w:space="0" w:color="auto"/>
              <w:bottom w:val="single" w:sz="4" w:space="0" w:color="auto"/>
              <w:right w:val="single" w:sz="4" w:space="0" w:color="auto"/>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4677" w:type="dxa"/>
            <w:tcBorders>
              <w:top w:val="nil"/>
              <w:left w:val="nil"/>
              <w:bottom w:val="single" w:sz="4" w:space="0" w:color="auto"/>
              <w:right w:val="nil"/>
            </w:tcBorders>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UKUPNO:</w:t>
            </w:r>
          </w:p>
        </w:tc>
        <w:tc>
          <w:tcPr>
            <w:tcW w:w="616"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4"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920" w:type="dxa"/>
            <w:tcBorders>
              <w:top w:val="nil"/>
              <w:left w:val="nil"/>
              <w:bottom w:val="single" w:sz="4" w:space="0" w:color="auto"/>
              <w:right w:val="nil"/>
            </w:tcBorders>
            <w:noWrap/>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c>
          <w:tcPr>
            <w:tcW w:w="1161" w:type="dxa"/>
            <w:tcBorders>
              <w:top w:val="nil"/>
              <w:left w:val="single" w:sz="4" w:space="0" w:color="auto"/>
              <w:bottom w:val="single" w:sz="4" w:space="0" w:color="auto"/>
              <w:right w:val="single" w:sz="4" w:space="0" w:color="auto"/>
            </w:tcBorders>
            <w:noWrap/>
            <w:vAlign w:val="bottom"/>
            <w:hideMark/>
          </w:tcPr>
          <w:p w:rsidR="00BE1511" w:rsidRPr="00BE1511" w:rsidRDefault="00BE1511" w:rsidP="00BE1511">
            <w:pPr>
              <w:jc w:val="both"/>
              <w:rPr>
                <w:rFonts w:ascii="Arial" w:hAnsi="Arial" w:cs="Arial"/>
                <w:b/>
                <w:bCs/>
                <w:sz w:val="22"/>
                <w:szCs w:val="22"/>
                <w:lang w:val="en-US"/>
              </w:rPr>
            </w:pPr>
            <w:r w:rsidRPr="00BE1511">
              <w:rPr>
                <w:rFonts w:ascii="Arial" w:hAnsi="Arial" w:cs="Arial"/>
                <w:b/>
                <w:bCs/>
                <w:sz w:val="22"/>
                <w:szCs w:val="22"/>
                <w:lang w:val="en-US"/>
              </w:rPr>
              <w:t> </w:t>
            </w:r>
          </w:p>
        </w:tc>
      </w:tr>
      <w:tr w:rsidR="00BE1511" w:rsidRPr="00BE1511" w:rsidTr="00BE1511">
        <w:trPr>
          <w:trHeight w:val="255"/>
        </w:trPr>
        <w:tc>
          <w:tcPr>
            <w:tcW w:w="522" w:type="dxa"/>
            <w:noWrap/>
            <w:hideMark/>
          </w:tcPr>
          <w:p w:rsidR="00BE1511" w:rsidRPr="00BE1511" w:rsidRDefault="00BE1511" w:rsidP="00BE1511">
            <w:pPr>
              <w:jc w:val="both"/>
              <w:rPr>
                <w:rFonts w:ascii="Arial" w:hAnsi="Arial" w:cs="Arial"/>
                <w:sz w:val="22"/>
                <w:szCs w:val="22"/>
                <w:lang w:val="sr-Latn-RS"/>
              </w:rPr>
            </w:pPr>
          </w:p>
        </w:tc>
        <w:tc>
          <w:tcPr>
            <w:tcW w:w="4677" w:type="dxa"/>
            <w:hideMark/>
          </w:tcPr>
          <w:p w:rsidR="00BE1511" w:rsidRPr="00BE1511" w:rsidRDefault="00BE1511" w:rsidP="00BE1511">
            <w:pPr>
              <w:jc w:val="both"/>
              <w:rPr>
                <w:rFonts w:ascii="Arial" w:hAnsi="Arial" w:cs="Arial"/>
                <w:sz w:val="22"/>
                <w:szCs w:val="22"/>
                <w:lang w:val="sr-Latn-RS"/>
              </w:rPr>
            </w:pPr>
          </w:p>
        </w:tc>
        <w:tc>
          <w:tcPr>
            <w:tcW w:w="616" w:type="dxa"/>
            <w:noWrap/>
            <w:hideMark/>
          </w:tcPr>
          <w:p w:rsidR="00BE1511" w:rsidRPr="00BE1511" w:rsidRDefault="00BE1511" w:rsidP="00BE1511">
            <w:pPr>
              <w:jc w:val="both"/>
              <w:rPr>
                <w:rFonts w:ascii="Arial" w:hAnsi="Arial" w:cs="Arial"/>
                <w:sz w:val="22"/>
                <w:szCs w:val="22"/>
                <w:lang w:val="sr-Latn-RS"/>
              </w:rPr>
            </w:pPr>
          </w:p>
        </w:tc>
        <w:tc>
          <w:tcPr>
            <w:tcW w:w="1164" w:type="dxa"/>
            <w:noWrap/>
            <w:hideMark/>
          </w:tcPr>
          <w:p w:rsidR="00BE1511" w:rsidRPr="00BE1511" w:rsidRDefault="00BE1511" w:rsidP="00BE1511">
            <w:pPr>
              <w:jc w:val="both"/>
              <w:rPr>
                <w:rFonts w:ascii="Arial" w:hAnsi="Arial" w:cs="Arial"/>
                <w:sz w:val="22"/>
                <w:szCs w:val="22"/>
                <w:lang w:val="sr-Latn-RS"/>
              </w:rPr>
            </w:pPr>
          </w:p>
        </w:tc>
        <w:tc>
          <w:tcPr>
            <w:tcW w:w="920" w:type="dxa"/>
            <w:noWrap/>
            <w:hideMark/>
          </w:tcPr>
          <w:p w:rsidR="00BE1511" w:rsidRPr="00BE1511" w:rsidRDefault="00BE1511" w:rsidP="00BE1511">
            <w:pPr>
              <w:jc w:val="both"/>
              <w:rPr>
                <w:rFonts w:ascii="Arial" w:hAnsi="Arial" w:cs="Arial"/>
                <w:sz w:val="22"/>
                <w:szCs w:val="22"/>
                <w:lang w:val="sr-Latn-RS"/>
              </w:rPr>
            </w:pPr>
          </w:p>
        </w:tc>
        <w:tc>
          <w:tcPr>
            <w:tcW w:w="1161" w:type="dxa"/>
            <w:noWrap/>
            <w:vAlign w:val="bottom"/>
            <w:hideMark/>
          </w:tcPr>
          <w:p w:rsidR="00BE1511" w:rsidRPr="00BE1511" w:rsidRDefault="00BE1511" w:rsidP="00BE1511">
            <w:pPr>
              <w:jc w:val="both"/>
              <w:rPr>
                <w:rFonts w:ascii="Arial" w:hAnsi="Arial" w:cs="Arial"/>
                <w:sz w:val="22"/>
                <w:szCs w:val="22"/>
                <w:lang w:val="sr-Latn-RS"/>
              </w:rPr>
            </w:pPr>
          </w:p>
        </w:tc>
      </w:tr>
    </w:tbl>
    <w:p w:rsidR="00BE1511" w:rsidRPr="00BE1511" w:rsidRDefault="00BE1511" w:rsidP="00BE1511">
      <w:pPr>
        <w:jc w:val="both"/>
        <w:rPr>
          <w:rFonts w:ascii="Arial" w:hAnsi="Arial" w:cs="Arial"/>
          <w:sz w:val="22"/>
          <w:szCs w:val="22"/>
          <w:lang w:val="en-US"/>
        </w:rPr>
      </w:pPr>
    </w:p>
    <w:p w:rsidR="00BE1511" w:rsidRPr="00BE1511" w:rsidRDefault="00BE1511" w:rsidP="00787815">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620C43"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p>
    <w:p w:rsidR="00C6690C" w:rsidRPr="00295D8C" w:rsidRDefault="00EA07F9" w:rsidP="00287F13">
      <w:pPr>
        <w:suppressAutoHyphens w:val="0"/>
        <w:jc w:val="both"/>
        <w:rPr>
          <w:rFonts w:ascii="Arial" w:hAnsi="Arial" w:cs="Arial"/>
          <w:sz w:val="22"/>
          <w:szCs w:val="22"/>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r>
      <w:bookmarkStart w:id="0" w:name="_GoBack"/>
      <w:bookmarkEnd w:id="0"/>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BB1132" w:rsidRDefault="00C6690C" w:rsidP="00DF23B4">
      <w:pPr>
        <w:rPr>
          <w:rFonts w:ascii="Arial" w:hAnsi="Arial" w:cs="Arial"/>
          <w:sz w:val="22"/>
          <w:szCs w:val="22"/>
          <w:lang w:val="sr-Latn-RS" w:eastAsia="en-US"/>
        </w:rPr>
      </w:pPr>
    </w:p>
    <w:sectPr w:rsidR="00C6690C" w:rsidRPr="00BB1132"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BA" w:rsidRDefault="002933BA" w:rsidP="00F717AF">
      <w:r>
        <w:separator/>
      </w:r>
    </w:p>
  </w:endnote>
  <w:endnote w:type="continuationSeparator" w:id="0">
    <w:p w:rsidR="002933BA" w:rsidRDefault="002933B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B44D3D" w:rsidRPr="00B44D3D">
      <w:rPr>
        <w:i/>
        <w:sz w:val="20"/>
        <w:lang w:val="sr-Latn-RS"/>
      </w:rPr>
      <w:t>3000/0839/2015 (102111/2015)</w:t>
    </w:r>
    <w:r>
      <w:rPr>
        <w:i/>
        <w:sz w:val="20"/>
      </w:rPr>
      <w:t xml:space="preserve"> </w:t>
    </w:r>
    <w:r w:rsidR="007B597E">
      <w:rPr>
        <w:i/>
        <w:sz w:val="20"/>
        <w:lang w:val="sr-Cyrl-RS"/>
      </w:rPr>
      <w:t xml:space="preserve"> Трећа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87F13">
      <w:rPr>
        <w:i/>
        <w:noProof/>
      </w:rPr>
      <w:t>14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87F13">
      <w:rPr>
        <w:i/>
        <w:noProof/>
      </w:rPr>
      <w:t>14</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BA" w:rsidRDefault="002933BA" w:rsidP="00F717AF">
      <w:r>
        <w:separator/>
      </w:r>
    </w:p>
  </w:footnote>
  <w:footnote w:type="continuationSeparator" w:id="0">
    <w:p w:rsidR="002933BA" w:rsidRDefault="002933B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933BA"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7"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87F13">
            <w:rPr>
              <w:rFonts w:cs="Arial"/>
              <w:b/>
              <w:noProof/>
            </w:rPr>
            <w:t>14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87F13">
            <w:rPr>
              <w:rFonts w:cs="Arial"/>
              <w:b/>
              <w:noProof/>
            </w:rPr>
            <w:t>14</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F51286"/>
    <w:multiLevelType w:val="hybridMultilevel"/>
    <w:tmpl w:val="347250FE"/>
    <w:lvl w:ilvl="0" w:tplc="80B4F46A">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A055A"/>
    <w:multiLevelType w:val="hybridMultilevel"/>
    <w:tmpl w:val="0776AB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F7D2C"/>
    <w:multiLevelType w:val="hybridMultilevel"/>
    <w:tmpl w:val="A7CA9FFC"/>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BE104B"/>
    <w:multiLevelType w:val="hybridMultilevel"/>
    <w:tmpl w:val="37EA928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4702F5"/>
    <w:multiLevelType w:val="hybridMultilevel"/>
    <w:tmpl w:val="0046B9B0"/>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30999"/>
    <w:multiLevelType w:val="hybridMultilevel"/>
    <w:tmpl w:val="73E69C5C"/>
    <w:lvl w:ilvl="0" w:tplc="1D98AFA2">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609608B"/>
    <w:multiLevelType w:val="hybridMultilevel"/>
    <w:tmpl w:val="092C3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C118C"/>
    <w:multiLevelType w:val="hybridMultilevel"/>
    <w:tmpl w:val="C43CBC9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6B1B55"/>
    <w:multiLevelType w:val="hybridMultilevel"/>
    <w:tmpl w:val="E4DEDF60"/>
    <w:lvl w:ilvl="0" w:tplc="E6A295AE">
      <w:start w:val="1"/>
      <w:numFmt w:val="decimal"/>
      <w:lvlText w:val="%1"/>
      <w:lvlJc w:val="left"/>
      <w:pPr>
        <w:ind w:left="420" w:hanging="42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6"/>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1"/>
  </w:num>
  <w:num w:numId="7">
    <w:abstractNumId w:val="24"/>
  </w:num>
  <w:num w:numId="8">
    <w:abstractNumId w:val="15"/>
  </w:num>
  <w:num w:numId="9">
    <w:abstractNumId w:val="23"/>
  </w:num>
  <w:num w:numId="10">
    <w:abstractNumId w:val="12"/>
  </w:num>
  <w:num w:numId="11">
    <w:abstractNumId w:val="4"/>
  </w:num>
  <w:num w:numId="12">
    <w:abstractNumId w:val="17"/>
  </w:num>
  <w:num w:numId="13">
    <w:abstractNumId w:val="22"/>
  </w:num>
  <w:num w:numId="14">
    <w:abstractNumId w:val="14"/>
  </w:num>
  <w:num w:numId="15">
    <w:abstractNumId w:val="21"/>
  </w:num>
  <w:num w:numId="16">
    <w:abstractNumId w:val="7"/>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57"/>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08A2"/>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7CE7"/>
    <w:rsid w:val="00194967"/>
    <w:rsid w:val="00194EFD"/>
    <w:rsid w:val="001967B7"/>
    <w:rsid w:val="001B4CEC"/>
    <w:rsid w:val="001B78A3"/>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F13"/>
    <w:rsid w:val="002903D6"/>
    <w:rsid w:val="00291E7D"/>
    <w:rsid w:val="002933BA"/>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E630C"/>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01D6"/>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640"/>
    <w:rsid w:val="004379A8"/>
    <w:rsid w:val="004412BA"/>
    <w:rsid w:val="0044230F"/>
    <w:rsid w:val="00443367"/>
    <w:rsid w:val="0045033A"/>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5D9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5D9A"/>
    <w:rsid w:val="005A2983"/>
    <w:rsid w:val="005A5724"/>
    <w:rsid w:val="005B3FA2"/>
    <w:rsid w:val="005B621D"/>
    <w:rsid w:val="005C3FDD"/>
    <w:rsid w:val="005C5334"/>
    <w:rsid w:val="005C6617"/>
    <w:rsid w:val="005D00D9"/>
    <w:rsid w:val="005E1D68"/>
    <w:rsid w:val="005E2CF3"/>
    <w:rsid w:val="005E431F"/>
    <w:rsid w:val="005E757E"/>
    <w:rsid w:val="005F2920"/>
    <w:rsid w:val="005F34DD"/>
    <w:rsid w:val="005F57AB"/>
    <w:rsid w:val="00605695"/>
    <w:rsid w:val="006071CC"/>
    <w:rsid w:val="0061306C"/>
    <w:rsid w:val="006202C3"/>
    <w:rsid w:val="00620C43"/>
    <w:rsid w:val="00623E54"/>
    <w:rsid w:val="00625C87"/>
    <w:rsid w:val="006313E9"/>
    <w:rsid w:val="006340F0"/>
    <w:rsid w:val="00635EB0"/>
    <w:rsid w:val="00640427"/>
    <w:rsid w:val="00640DD7"/>
    <w:rsid w:val="0064661C"/>
    <w:rsid w:val="00647946"/>
    <w:rsid w:val="00651BB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2FE6"/>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2959"/>
    <w:rsid w:val="00744305"/>
    <w:rsid w:val="00745E08"/>
    <w:rsid w:val="007466B7"/>
    <w:rsid w:val="00751E9F"/>
    <w:rsid w:val="00754479"/>
    <w:rsid w:val="00756098"/>
    <w:rsid w:val="00764418"/>
    <w:rsid w:val="0076662D"/>
    <w:rsid w:val="0077093E"/>
    <w:rsid w:val="007725A8"/>
    <w:rsid w:val="00775367"/>
    <w:rsid w:val="007753B5"/>
    <w:rsid w:val="0078283A"/>
    <w:rsid w:val="00787815"/>
    <w:rsid w:val="0079184C"/>
    <w:rsid w:val="00795428"/>
    <w:rsid w:val="0079553B"/>
    <w:rsid w:val="007958EA"/>
    <w:rsid w:val="007960B0"/>
    <w:rsid w:val="0079663C"/>
    <w:rsid w:val="007A3FA8"/>
    <w:rsid w:val="007A4364"/>
    <w:rsid w:val="007A4C70"/>
    <w:rsid w:val="007A5328"/>
    <w:rsid w:val="007B2AA8"/>
    <w:rsid w:val="007B597E"/>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32"/>
    <w:rsid w:val="008202E2"/>
    <w:rsid w:val="00823C1B"/>
    <w:rsid w:val="0083061D"/>
    <w:rsid w:val="0083092A"/>
    <w:rsid w:val="00836AD6"/>
    <w:rsid w:val="00842051"/>
    <w:rsid w:val="008435DF"/>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472"/>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1BEA"/>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480"/>
    <w:rsid w:val="00963A13"/>
    <w:rsid w:val="00971A69"/>
    <w:rsid w:val="00981749"/>
    <w:rsid w:val="00981C66"/>
    <w:rsid w:val="00984293"/>
    <w:rsid w:val="0099006D"/>
    <w:rsid w:val="00991128"/>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4D3D"/>
    <w:rsid w:val="00B511BE"/>
    <w:rsid w:val="00B53DC9"/>
    <w:rsid w:val="00B541CD"/>
    <w:rsid w:val="00B5499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1132"/>
    <w:rsid w:val="00BD1125"/>
    <w:rsid w:val="00BD632A"/>
    <w:rsid w:val="00BE1511"/>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97EC0"/>
    <w:rsid w:val="00CA2647"/>
    <w:rsid w:val="00CA3070"/>
    <w:rsid w:val="00CA74B7"/>
    <w:rsid w:val="00CB053F"/>
    <w:rsid w:val="00CB7876"/>
    <w:rsid w:val="00CB78DF"/>
    <w:rsid w:val="00CC3A8F"/>
    <w:rsid w:val="00CD27FA"/>
    <w:rsid w:val="00CD71C9"/>
    <w:rsid w:val="00CE3E25"/>
    <w:rsid w:val="00CE5102"/>
    <w:rsid w:val="00CE5522"/>
    <w:rsid w:val="00CE5AE8"/>
    <w:rsid w:val="00CF080D"/>
    <w:rsid w:val="00CF1643"/>
    <w:rsid w:val="00CF272A"/>
    <w:rsid w:val="00CF5DB0"/>
    <w:rsid w:val="00CF5EB4"/>
    <w:rsid w:val="00D00986"/>
    <w:rsid w:val="00D05371"/>
    <w:rsid w:val="00D07C1C"/>
    <w:rsid w:val="00D118D0"/>
    <w:rsid w:val="00D11F75"/>
    <w:rsid w:val="00D1538A"/>
    <w:rsid w:val="00D1773B"/>
    <w:rsid w:val="00D20886"/>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0DD"/>
    <w:rsid w:val="00D94D7E"/>
    <w:rsid w:val="00DA402F"/>
    <w:rsid w:val="00DB1C04"/>
    <w:rsid w:val="00DB240E"/>
    <w:rsid w:val="00DC0967"/>
    <w:rsid w:val="00DC6397"/>
    <w:rsid w:val="00DD0EBE"/>
    <w:rsid w:val="00DD6132"/>
    <w:rsid w:val="00DE1497"/>
    <w:rsid w:val="00DE4CE9"/>
    <w:rsid w:val="00DE62E1"/>
    <w:rsid w:val="00DE715B"/>
    <w:rsid w:val="00DF0249"/>
    <w:rsid w:val="00DF0CF6"/>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032A"/>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B7735"/>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font5">
    <w:name w:val="font5"/>
    <w:basedOn w:val="Normal"/>
    <w:rsid w:val="00BE1511"/>
    <w:pPr>
      <w:suppressAutoHyphens w:val="0"/>
      <w:spacing w:before="100" w:beforeAutospacing="1" w:after="100" w:afterAutospacing="1"/>
    </w:pPr>
    <w:rPr>
      <w:rFonts w:ascii="Arial" w:hAnsi="Arial" w:cs="Arial"/>
      <w:sz w:val="22"/>
      <w:szCs w:val="22"/>
      <w:lang w:val="en-US" w:eastAsia="en-US"/>
    </w:rPr>
  </w:style>
  <w:style w:type="paragraph" w:customStyle="1" w:styleId="xl72">
    <w:name w:val="xl72"/>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73">
    <w:name w:val="xl73"/>
    <w:basedOn w:val="Normal"/>
    <w:rsid w:val="00BE1511"/>
    <w:pPr>
      <w:suppressAutoHyphens w:val="0"/>
      <w:spacing w:before="100" w:beforeAutospacing="1" w:after="100" w:afterAutospacing="1"/>
      <w:jc w:val="center"/>
    </w:pPr>
    <w:rPr>
      <w:rFonts w:ascii="Arial" w:hAnsi="Arial" w:cs="Arial"/>
      <w:szCs w:val="24"/>
      <w:lang w:val="en-US" w:eastAsia="en-US"/>
    </w:rPr>
  </w:style>
  <w:style w:type="paragraph" w:customStyle="1" w:styleId="xl74">
    <w:name w:val="xl74"/>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75">
    <w:name w:val="xl75"/>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76">
    <w:name w:val="xl76"/>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77">
    <w:name w:val="xl77"/>
    <w:basedOn w:val="Normal"/>
    <w:rsid w:val="00BE1511"/>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78">
    <w:name w:val="xl78"/>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79">
    <w:name w:val="xl79"/>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0">
    <w:name w:val="xl80"/>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81">
    <w:name w:val="xl81"/>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82">
    <w:name w:val="xl82"/>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83">
    <w:name w:val="xl83"/>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84">
    <w:name w:val="xl84"/>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85">
    <w:name w:val="xl85"/>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86">
    <w:name w:val="xl86"/>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87">
    <w:name w:val="xl8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8">
    <w:name w:val="xl8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9">
    <w:name w:val="xl8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0">
    <w:name w:val="xl9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1">
    <w:name w:val="xl91"/>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92">
    <w:name w:val="xl92"/>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3">
    <w:name w:val="xl93"/>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4">
    <w:name w:val="xl94"/>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5">
    <w:name w:val="xl95"/>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6">
    <w:name w:val="xl96"/>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7">
    <w:name w:val="xl97"/>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8">
    <w:name w:val="xl98"/>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99">
    <w:name w:val="xl99"/>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color w:val="FF0000"/>
      <w:sz w:val="22"/>
      <w:szCs w:val="22"/>
      <w:lang w:val="en-US" w:eastAsia="en-US"/>
    </w:rPr>
  </w:style>
  <w:style w:type="paragraph" w:customStyle="1" w:styleId="xl100">
    <w:name w:val="xl100"/>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01">
    <w:name w:val="xl101"/>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2">
    <w:name w:val="xl102"/>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3">
    <w:name w:val="xl103"/>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4">
    <w:name w:val="xl104"/>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5">
    <w:name w:val="xl105"/>
    <w:basedOn w:val="Normal"/>
    <w:rsid w:val="00BE1511"/>
    <w:pPr>
      <w:pBdr>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06">
    <w:name w:val="xl106"/>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7">
    <w:name w:val="xl10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cs="Arial"/>
      <w:sz w:val="22"/>
      <w:szCs w:val="22"/>
      <w:lang w:val="en-US" w:eastAsia="en-US"/>
    </w:rPr>
  </w:style>
  <w:style w:type="paragraph" w:customStyle="1" w:styleId="xl108">
    <w:name w:val="xl10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09">
    <w:name w:val="xl10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0">
    <w:name w:val="xl11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1">
    <w:name w:val="xl111"/>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2">
    <w:name w:val="xl112"/>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3">
    <w:name w:val="xl113"/>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14">
    <w:name w:val="xl114"/>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15">
    <w:name w:val="xl115"/>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6">
    <w:name w:val="xl116"/>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7">
    <w:name w:val="xl11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8">
    <w:name w:val="xl11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19">
    <w:name w:val="xl119"/>
    <w:basedOn w:val="Normal"/>
    <w:rsid w:val="00BE1511"/>
    <w:pPr>
      <w:pBdr>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20">
    <w:name w:val="xl120"/>
    <w:basedOn w:val="Normal"/>
    <w:rsid w:val="00BE1511"/>
    <w:pPr>
      <w:pBdr>
        <w:bottom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1">
    <w:name w:val="xl121"/>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22">
    <w:name w:val="xl122"/>
    <w:basedOn w:val="Normal"/>
    <w:rsid w:val="00BE151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23">
    <w:name w:val="xl123"/>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24">
    <w:name w:val="xl12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25">
    <w:name w:val="xl125"/>
    <w:basedOn w:val="Normal"/>
    <w:rsid w:val="00BE1511"/>
    <w:pPr>
      <w:pBdr>
        <w:top w:val="single" w:sz="4" w:space="0" w:color="auto"/>
        <w:bottom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6">
    <w:name w:val="xl126"/>
    <w:basedOn w:val="Normal"/>
    <w:rsid w:val="00BE1511"/>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7">
    <w:name w:val="xl127"/>
    <w:basedOn w:val="Normal"/>
    <w:rsid w:val="00BE1511"/>
    <w:pPr>
      <w:pBdr>
        <w:left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28">
    <w:name w:val="xl128"/>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29">
    <w:name w:val="xl129"/>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30">
    <w:name w:val="xl130"/>
    <w:basedOn w:val="Normal"/>
    <w:rsid w:val="00BE1511"/>
    <w:pPr>
      <w:pBdr>
        <w:bottom w:val="single" w:sz="4" w:space="0" w:color="auto"/>
      </w:pBdr>
      <w:suppressAutoHyphens w:val="0"/>
      <w:spacing w:before="100" w:beforeAutospacing="1" w:after="100" w:afterAutospacing="1"/>
    </w:pPr>
    <w:rPr>
      <w:rFonts w:ascii="Arial" w:hAnsi="Arial" w:cs="Arial"/>
      <w:i/>
      <w:iCs/>
      <w:szCs w:val="24"/>
      <w:lang w:val="en-US" w:eastAsia="en-US"/>
    </w:rPr>
  </w:style>
  <w:style w:type="paragraph" w:customStyle="1" w:styleId="xl131">
    <w:name w:val="xl131"/>
    <w:basedOn w:val="Normal"/>
    <w:rsid w:val="00BE1511"/>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2">
    <w:name w:val="xl132"/>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i/>
      <w:iCs/>
      <w:szCs w:val="24"/>
      <w:lang w:val="en-US" w:eastAsia="en-US"/>
    </w:rPr>
  </w:style>
  <w:style w:type="paragraph" w:customStyle="1" w:styleId="xl133">
    <w:name w:val="xl133"/>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34">
    <w:name w:val="xl13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5">
    <w:name w:val="xl135"/>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6">
    <w:name w:val="xl136"/>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37">
    <w:name w:val="xl137"/>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38">
    <w:name w:val="xl13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39">
    <w:name w:val="xl13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0">
    <w:name w:val="xl14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1">
    <w:name w:val="xl141"/>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2">
    <w:name w:val="xl142"/>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3">
    <w:name w:val="xl143"/>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4">
    <w:name w:val="xl144"/>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5">
    <w:name w:val="xl145"/>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6">
    <w:name w:val="xl146"/>
    <w:basedOn w:val="Normal"/>
    <w:rsid w:val="00BE1511"/>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7">
    <w:name w:val="xl147"/>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8">
    <w:name w:val="xl148"/>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9">
    <w:name w:val="xl149"/>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0">
    <w:name w:val="xl150"/>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1">
    <w:name w:val="xl151"/>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2">
    <w:name w:val="xl152"/>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3">
    <w:name w:val="xl153"/>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54">
    <w:name w:val="xl154"/>
    <w:basedOn w:val="Normal"/>
    <w:rsid w:val="00BE1511"/>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55">
    <w:name w:val="xl155"/>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i/>
      <w:iCs/>
      <w:szCs w:val="24"/>
      <w:lang w:val="en-US" w:eastAsia="en-US"/>
    </w:rPr>
  </w:style>
  <w:style w:type="paragraph" w:customStyle="1" w:styleId="xl156">
    <w:name w:val="xl156"/>
    <w:basedOn w:val="Normal"/>
    <w:rsid w:val="00BE1511"/>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szCs w:val="24"/>
      <w:lang w:val="en-US" w:eastAsia="en-US"/>
    </w:rPr>
  </w:style>
  <w:style w:type="paragraph" w:customStyle="1" w:styleId="xl157">
    <w:name w:val="xl15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58">
    <w:name w:val="xl158"/>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59">
    <w:name w:val="xl159"/>
    <w:basedOn w:val="Normal"/>
    <w:rsid w:val="00BE1511"/>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60">
    <w:name w:val="xl160"/>
    <w:basedOn w:val="Normal"/>
    <w:rsid w:val="00BE1511"/>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1">
    <w:name w:val="xl161"/>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62">
    <w:name w:val="xl162"/>
    <w:basedOn w:val="Normal"/>
    <w:rsid w:val="00BE1511"/>
    <w:pPr>
      <w:pBdr>
        <w:bottom w:val="single" w:sz="4" w:space="0" w:color="auto"/>
      </w:pBdr>
      <w:suppressAutoHyphens w:val="0"/>
      <w:spacing w:before="100" w:beforeAutospacing="1" w:after="100" w:afterAutospacing="1"/>
      <w:jc w:val="center"/>
    </w:pPr>
    <w:rPr>
      <w:rFonts w:ascii="Arial" w:hAnsi="Arial" w:cs="Arial"/>
      <w:i/>
      <w:iCs/>
      <w:szCs w:val="24"/>
      <w:lang w:val="en-US" w:eastAsia="en-US"/>
    </w:rPr>
  </w:style>
  <w:style w:type="paragraph" w:customStyle="1" w:styleId="xl163">
    <w:name w:val="xl163"/>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i/>
      <w:iCs/>
      <w:szCs w:val="24"/>
      <w:lang w:val="en-US" w:eastAsia="en-US"/>
    </w:rPr>
  </w:style>
  <w:style w:type="paragraph" w:customStyle="1" w:styleId="xl164">
    <w:name w:val="xl164"/>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65">
    <w:name w:val="xl165"/>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66">
    <w:name w:val="xl166"/>
    <w:basedOn w:val="Normal"/>
    <w:rsid w:val="00BE1511"/>
    <w:pPr>
      <w:suppressAutoHyphens w:val="0"/>
      <w:spacing w:before="100" w:beforeAutospacing="1" w:after="100" w:afterAutospacing="1"/>
      <w:jc w:val="center"/>
    </w:pPr>
    <w:rPr>
      <w:rFonts w:ascii="Arial" w:hAnsi="Arial" w:cs="Arial"/>
      <w:szCs w:val="24"/>
      <w:lang w:val="en-US" w:eastAsia="en-US"/>
    </w:rPr>
  </w:style>
  <w:style w:type="paragraph" w:customStyle="1" w:styleId="xl167">
    <w:name w:val="xl167"/>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8">
    <w:name w:val="xl168"/>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9">
    <w:name w:val="xl169"/>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70">
    <w:name w:val="xl170"/>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171">
    <w:name w:val="xl171"/>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72">
    <w:name w:val="xl172"/>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73">
    <w:name w:val="xl173"/>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74">
    <w:name w:val="xl17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75">
    <w:name w:val="xl175"/>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76">
    <w:name w:val="xl176"/>
    <w:basedOn w:val="Normal"/>
    <w:rsid w:val="00BE1511"/>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77">
    <w:name w:val="xl177"/>
    <w:basedOn w:val="Normal"/>
    <w:rsid w:val="00BE1511"/>
    <w:pPr>
      <w:pBdr>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78">
    <w:name w:val="xl178"/>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79">
    <w:name w:val="xl179"/>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0">
    <w:name w:val="xl180"/>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1">
    <w:name w:val="xl181"/>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3">
    <w:name w:val="xl183"/>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4">
    <w:name w:val="xl184"/>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5">
    <w:name w:val="xl185"/>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6">
    <w:name w:val="xl186"/>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7">
    <w:name w:val="xl187"/>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8">
    <w:name w:val="xl188"/>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9">
    <w:name w:val="xl189"/>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90">
    <w:name w:val="xl190"/>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1">
    <w:name w:val="xl191"/>
    <w:basedOn w:val="Normal"/>
    <w:rsid w:val="00BE1511"/>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92">
    <w:name w:val="xl192"/>
    <w:basedOn w:val="Normal"/>
    <w:rsid w:val="00BE1511"/>
    <w:pPr>
      <w:pBdr>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3">
    <w:name w:val="xl193"/>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4">
    <w:name w:val="xl194"/>
    <w:basedOn w:val="Normal"/>
    <w:rsid w:val="00BE1511"/>
    <w:pPr>
      <w:pBdr>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5">
    <w:name w:val="xl195"/>
    <w:basedOn w:val="Normal"/>
    <w:rsid w:val="00BE1511"/>
    <w:pPr>
      <w:pBdr>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606">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83856106">
      <w:bodyDiv w:val="1"/>
      <w:marLeft w:val="0"/>
      <w:marRight w:val="0"/>
      <w:marTop w:val="0"/>
      <w:marBottom w:val="0"/>
      <w:divBdr>
        <w:top w:val="none" w:sz="0" w:space="0" w:color="auto"/>
        <w:left w:val="none" w:sz="0" w:space="0" w:color="auto"/>
        <w:bottom w:val="none" w:sz="0" w:space="0" w:color="auto"/>
        <w:right w:val="none" w:sz="0" w:space="0" w:color="auto"/>
      </w:divBdr>
    </w:div>
    <w:div w:id="540482858">
      <w:bodyDiv w:val="1"/>
      <w:marLeft w:val="0"/>
      <w:marRight w:val="0"/>
      <w:marTop w:val="0"/>
      <w:marBottom w:val="0"/>
      <w:divBdr>
        <w:top w:val="none" w:sz="0" w:space="0" w:color="auto"/>
        <w:left w:val="none" w:sz="0" w:space="0" w:color="auto"/>
        <w:bottom w:val="none" w:sz="0" w:space="0" w:color="auto"/>
        <w:right w:val="none" w:sz="0" w:space="0" w:color="auto"/>
      </w:divBdr>
    </w:div>
    <w:div w:id="681706098">
      <w:bodyDiv w:val="1"/>
      <w:marLeft w:val="0"/>
      <w:marRight w:val="0"/>
      <w:marTop w:val="0"/>
      <w:marBottom w:val="0"/>
      <w:divBdr>
        <w:top w:val="none" w:sz="0" w:space="0" w:color="auto"/>
        <w:left w:val="none" w:sz="0" w:space="0" w:color="auto"/>
        <w:bottom w:val="none" w:sz="0" w:space="0" w:color="auto"/>
        <w:right w:val="none" w:sz="0" w:space="0" w:color="auto"/>
      </w:divBdr>
    </w:div>
    <w:div w:id="128978006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8118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340E-4CDD-4500-B652-CD15DB0F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52</cp:revision>
  <cp:lastPrinted>2016-02-12T06:07:00Z</cp:lastPrinted>
  <dcterms:created xsi:type="dcterms:W3CDTF">2015-07-01T14:16:00Z</dcterms:created>
  <dcterms:modified xsi:type="dcterms:W3CDTF">2016-02-12T08:54:00Z</dcterms:modified>
</cp:coreProperties>
</file>