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ED" w:rsidRDefault="00874EED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B31DB7" w:rsidRDefault="00B31DB7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Број:</w:t>
      </w:r>
      <w:r>
        <w:rPr>
          <w:rFonts w:cs="Arial"/>
          <w:sz w:val="22"/>
          <w:szCs w:val="22"/>
          <w:lang w:val="sr-Latn-RS"/>
        </w:rPr>
        <w:t>105.E.03.01.26015/14-2016</w:t>
      </w:r>
    </w:p>
    <w:p w:rsidR="00C77844" w:rsidRPr="00B31DB7" w:rsidRDefault="00B31DB7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>15.03.2016.</w:t>
      </w:r>
      <w:r>
        <w:rPr>
          <w:rFonts w:cs="Arial"/>
          <w:sz w:val="22"/>
          <w:szCs w:val="22"/>
          <w:lang w:val="sr-Cyrl-RS"/>
        </w:rPr>
        <w:t>год.</w:t>
      </w:r>
      <w:bookmarkStart w:id="0" w:name="_GoBack"/>
      <w:bookmarkEnd w:id="0"/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C77844">
        <w:rPr>
          <w:rFonts w:cs="Arial"/>
          <w:i/>
          <w:sz w:val="22"/>
          <w:szCs w:val="22"/>
          <w:lang w:val="sr-Cyrl-RS"/>
        </w:rPr>
        <w:t xml:space="preserve">          (место и датум)</w:t>
      </w:r>
    </w:p>
    <w:p w:rsidR="00CB6405" w:rsidRPr="00C70AF0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sr-Latn-RS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</w:t>
      </w:r>
      <w:r w:rsidR="00726A67">
        <w:rPr>
          <w:rFonts w:cs="Arial"/>
          <w:sz w:val="22"/>
          <w:szCs w:val="22"/>
          <w:lang w:val="ru-RU"/>
        </w:rPr>
        <w:t xml:space="preserve">ручној оцени понуда (број </w:t>
      </w:r>
      <w:r w:rsidR="00726A67">
        <w:rPr>
          <w:rFonts w:cs="Arial"/>
          <w:sz w:val="22"/>
          <w:szCs w:val="22"/>
          <w:lang w:val="sr-Latn-RS"/>
        </w:rPr>
        <w:t>105.E.03.01.26015/13-2016</w:t>
      </w:r>
      <w:r w:rsidR="00726A67">
        <w:rPr>
          <w:rFonts w:cs="Arial"/>
          <w:sz w:val="22"/>
          <w:szCs w:val="22"/>
          <w:lang w:val="ru-RU"/>
        </w:rPr>
        <w:t xml:space="preserve"> од </w:t>
      </w:r>
      <w:r w:rsidR="00726A67">
        <w:rPr>
          <w:rFonts w:cs="Arial"/>
          <w:sz w:val="22"/>
          <w:szCs w:val="22"/>
          <w:lang w:val="sr-Latn-RS"/>
        </w:rPr>
        <w:t>02.03.2016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>уномоћју д</w:t>
      </w:r>
      <w:r w:rsidR="00FF257A">
        <w:rPr>
          <w:rFonts w:cs="Arial"/>
          <w:sz w:val="22"/>
          <w:szCs w:val="22"/>
          <w:lang w:val="sr-Cyrl-CS"/>
        </w:rPr>
        <w:t>иректора ЈП ЕПС број 12.01.</w:t>
      </w:r>
      <w:r w:rsidR="00FF257A">
        <w:rPr>
          <w:rFonts w:cs="Arial"/>
          <w:sz w:val="22"/>
          <w:szCs w:val="22"/>
          <w:lang w:val="sr-Latn-RS"/>
        </w:rPr>
        <w:t>72300</w:t>
      </w:r>
      <w:r w:rsidR="00FF257A">
        <w:rPr>
          <w:rFonts w:cs="Arial"/>
          <w:sz w:val="22"/>
          <w:szCs w:val="22"/>
          <w:lang w:val="sr-Cyrl-CS"/>
        </w:rPr>
        <w:t>/</w:t>
      </w:r>
      <w:r w:rsidR="00FF257A">
        <w:rPr>
          <w:rFonts w:cs="Arial"/>
          <w:sz w:val="22"/>
          <w:szCs w:val="22"/>
          <w:lang w:val="sr-Latn-RS"/>
        </w:rPr>
        <w:t>3</w:t>
      </w:r>
      <w:r w:rsidR="00FF257A">
        <w:rPr>
          <w:rFonts w:cs="Arial"/>
          <w:sz w:val="22"/>
          <w:szCs w:val="22"/>
          <w:lang w:val="sr-Cyrl-CS"/>
        </w:rPr>
        <w:t>-1</w:t>
      </w:r>
      <w:r w:rsidR="00FF257A">
        <w:rPr>
          <w:rFonts w:cs="Arial"/>
          <w:sz w:val="22"/>
          <w:szCs w:val="22"/>
          <w:lang w:val="sr-Latn-RS"/>
        </w:rPr>
        <w:t>6</w:t>
      </w:r>
      <w:r w:rsidR="00FF257A">
        <w:rPr>
          <w:rFonts w:cs="Arial"/>
          <w:sz w:val="22"/>
          <w:szCs w:val="22"/>
          <w:lang w:val="sr-Cyrl-CS"/>
        </w:rPr>
        <w:t xml:space="preserve"> од </w:t>
      </w:r>
      <w:r w:rsidR="00FF257A">
        <w:rPr>
          <w:rFonts w:cs="Arial"/>
          <w:sz w:val="22"/>
          <w:szCs w:val="22"/>
          <w:lang w:val="sr-Latn-RS"/>
        </w:rPr>
        <w:t>01</w:t>
      </w:r>
      <w:r w:rsidR="00FF257A">
        <w:rPr>
          <w:rFonts w:cs="Arial"/>
          <w:sz w:val="22"/>
          <w:szCs w:val="22"/>
          <w:lang w:val="sr-Cyrl-CS"/>
        </w:rPr>
        <w:t>.0</w:t>
      </w:r>
      <w:r w:rsidR="00FF257A">
        <w:rPr>
          <w:rFonts w:cs="Arial"/>
          <w:sz w:val="22"/>
          <w:szCs w:val="22"/>
          <w:lang w:val="sr-Latn-RS"/>
        </w:rPr>
        <w:t>3</w:t>
      </w:r>
      <w:r w:rsidR="00FF257A">
        <w:rPr>
          <w:rFonts w:cs="Arial"/>
          <w:sz w:val="22"/>
          <w:szCs w:val="22"/>
          <w:lang w:val="sr-Cyrl-CS"/>
        </w:rPr>
        <w:t>.201</w:t>
      </w:r>
      <w:r w:rsidR="00FF257A">
        <w:rPr>
          <w:rFonts w:cs="Arial"/>
          <w:sz w:val="22"/>
          <w:szCs w:val="22"/>
          <w:lang w:val="sr-Latn-RS"/>
        </w:rPr>
        <w:t>6</w:t>
      </w:r>
      <w:r w:rsidR="00754560" w:rsidRPr="00AC0782">
        <w:rPr>
          <w:rFonts w:cs="Arial"/>
          <w:sz w:val="22"/>
          <w:szCs w:val="22"/>
          <w:lang w:val="sr-Cyrl-CS"/>
        </w:rPr>
        <w:t xml:space="preserve">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AC0782" w:rsidRDefault="00C70AF0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>
        <w:rPr>
          <w:rFonts w:cs="Arial"/>
          <w:b/>
          <w:sz w:val="22"/>
          <w:szCs w:val="22"/>
        </w:rPr>
        <w:t xml:space="preserve">ЈАВНА НАБАВКА </w:t>
      </w:r>
      <w:proofErr w:type="spellStart"/>
      <w:r>
        <w:rPr>
          <w:rFonts w:cs="Arial"/>
          <w:b/>
          <w:sz w:val="22"/>
          <w:szCs w:val="22"/>
        </w:rPr>
        <w:t>бр</w:t>
      </w:r>
      <w:proofErr w:type="spellEnd"/>
      <w:r>
        <w:rPr>
          <w:rFonts w:cs="Arial"/>
          <w:b/>
          <w:sz w:val="22"/>
          <w:szCs w:val="22"/>
        </w:rPr>
        <w:t>.</w:t>
      </w:r>
      <w:proofErr w:type="gramEnd"/>
      <w:r w:rsidRPr="00C70AF0">
        <w:rPr>
          <w:rFonts w:eastAsia="Calibri" w:cs="Arial"/>
          <w:b/>
          <w:sz w:val="22"/>
          <w:szCs w:val="22"/>
          <w:lang w:val="sr-Cyrl-CS"/>
        </w:rPr>
        <w:t xml:space="preserve"> </w:t>
      </w:r>
      <w:r w:rsidRPr="00010EE7">
        <w:rPr>
          <w:rFonts w:eastAsia="Calibri" w:cs="Arial"/>
          <w:b/>
          <w:sz w:val="22"/>
          <w:szCs w:val="22"/>
          <w:lang w:val="sr-Cyrl-CS"/>
        </w:rPr>
        <w:t>3000/1649/2015 (102116/2015)</w:t>
      </w: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CF2E48" w:rsidRPr="00C70AF0" w:rsidRDefault="00CF2E48" w:rsidP="00D92A4F">
      <w:pPr>
        <w:rPr>
          <w:rFonts w:cs="Arial"/>
          <w:i/>
          <w:sz w:val="22"/>
          <w:szCs w:val="22"/>
          <w:lang w:val="sr-Cyrl-CS"/>
        </w:rPr>
      </w:pPr>
      <w:r w:rsidRPr="00AC0782">
        <w:rPr>
          <w:rFonts w:cs="Arial"/>
          <w:sz w:val="22"/>
          <w:szCs w:val="22"/>
          <w:lang w:val="sr-Cyrl-CS"/>
        </w:rPr>
        <w:t>Уговор о јавној</w:t>
      </w:r>
      <w:r w:rsidRPr="00AC0782">
        <w:rPr>
          <w:rFonts w:cs="Arial"/>
          <w:i/>
          <w:color w:val="4F81BD"/>
          <w:sz w:val="22"/>
          <w:szCs w:val="22"/>
          <w:lang w:val="sr-Cyrl-CS"/>
        </w:rPr>
        <w:t xml:space="preserve"> </w:t>
      </w:r>
      <w:r w:rsidRPr="00C70AF0">
        <w:rPr>
          <w:rFonts w:cs="Arial"/>
          <w:sz w:val="22"/>
          <w:szCs w:val="22"/>
          <w:lang w:val="sr-Cyrl-CS"/>
        </w:rPr>
        <w:t xml:space="preserve">набавци </w:t>
      </w:r>
      <w:r w:rsidR="00C70AF0" w:rsidRPr="00C70AF0">
        <w:rPr>
          <w:rFonts w:cs="Arial"/>
          <w:sz w:val="22"/>
          <w:szCs w:val="22"/>
          <w:lang w:val="sr-Cyrl-RS"/>
        </w:rPr>
        <w:t>услуга:</w:t>
      </w:r>
      <w:r w:rsidR="00C70AF0" w:rsidRPr="00C70AF0">
        <w:rPr>
          <w:rFonts w:eastAsia="Calibri" w:cs="Arial"/>
          <w:b/>
          <w:sz w:val="22"/>
          <w:szCs w:val="22"/>
          <w:lang w:val="sr-Cyrl-CS"/>
        </w:rPr>
        <w:t xml:space="preserve"> Капитални ремонт ротора генератора А2</w:t>
      </w:r>
      <w:r w:rsidRPr="00C70AF0">
        <w:rPr>
          <w:rFonts w:cs="Arial"/>
          <w:b/>
          <w:sz w:val="22"/>
          <w:szCs w:val="22"/>
          <w:lang w:val="sr-Cyrl-CS"/>
        </w:rPr>
        <w:t>,</w:t>
      </w:r>
      <w:r w:rsidR="00C70AF0" w:rsidRPr="00C70AF0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393569" w:rsidRPr="00C70AF0">
        <w:rPr>
          <w:rFonts w:cs="Arial"/>
          <w:sz w:val="22"/>
          <w:szCs w:val="22"/>
          <w:lang w:val="sr-Cyrl-RS"/>
        </w:rPr>
        <w:t>:</w:t>
      </w:r>
      <w:r w:rsidR="00C70AF0" w:rsidRPr="00C70AF0">
        <w:rPr>
          <w:rFonts w:cs="Arial"/>
          <w:i/>
          <w:sz w:val="22"/>
          <w:szCs w:val="22"/>
          <w:lang w:val="sr-Latn-RS"/>
        </w:rPr>
        <w:t xml:space="preserve"> EthosEnergy Poland S.A Ul. Powstancom Slaskich 85, 42701 Lubliniec, Poland</w:t>
      </w:r>
      <w:r w:rsidR="00393569" w:rsidRPr="00C70AF0">
        <w:rPr>
          <w:rFonts w:cs="Arial"/>
          <w:sz w:val="22"/>
          <w:szCs w:val="22"/>
          <w:lang w:val="sr-Cyrl-RS"/>
        </w:rPr>
        <w:t xml:space="preserve"> </w:t>
      </w:r>
      <w:r w:rsidRPr="00C70AF0">
        <w:rPr>
          <w:rFonts w:cs="Arial"/>
          <w:sz w:val="22"/>
          <w:szCs w:val="22"/>
          <w:lang w:val="sr-Cyrl-CS"/>
        </w:rPr>
        <w:t xml:space="preserve">, чија је Понуда, евидентирана </w:t>
      </w:r>
      <w:r w:rsidR="00C70AF0" w:rsidRPr="00C70AF0">
        <w:rPr>
          <w:rFonts w:cs="Arial"/>
          <w:sz w:val="22"/>
          <w:szCs w:val="22"/>
          <w:lang w:val="sr-Cyrl-CS"/>
        </w:rPr>
        <w:t>код Понуђача под бројем</w:t>
      </w:r>
      <w:r w:rsidR="00C70AF0" w:rsidRPr="00C70AF0">
        <w:rPr>
          <w:rFonts w:cs="Arial"/>
          <w:sz w:val="22"/>
          <w:szCs w:val="22"/>
          <w:lang w:val="sr-Latn-RS"/>
        </w:rPr>
        <w:t xml:space="preserve"> GZ/MO/01/2016/06</w:t>
      </w:r>
      <w:r w:rsidR="00C70AF0" w:rsidRPr="00C70AF0">
        <w:rPr>
          <w:rFonts w:cs="Arial"/>
          <w:sz w:val="22"/>
          <w:szCs w:val="22"/>
          <w:lang w:val="sr-Cyrl-CS"/>
        </w:rPr>
        <w:t xml:space="preserve"> од </w:t>
      </w:r>
      <w:r w:rsidR="00C70AF0" w:rsidRPr="00C70AF0">
        <w:rPr>
          <w:rFonts w:cs="Arial"/>
          <w:sz w:val="22"/>
          <w:szCs w:val="22"/>
          <w:lang w:val="sr-Latn-RS"/>
        </w:rPr>
        <w:t>18.01</w:t>
      </w:r>
      <w:r w:rsidR="00C70AF0" w:rsidRPr="00C70AF0">
        <w:rPr>
          <w:rFonts w:cs="Arial"/>
          <w:sz w:val="22"/>
          <w:szCs w:val="22"/>
          <w:lang w:val="sr-Cyrl-CS"/>
        </w:rPr>
        <w:t>.201</w:t>
      </w:r>
      <w:r w:rsidR="00C70AF0" w:rsidRPr="00C70AF0">
        <w:rPr>
          <w:rFonts w:cs="Arial"/>
          <w:sz w:val="22"/>
          <w:szCs w:val="22"/>
          <w:lang w:val="sr-Latn-RS"/>
        </w:rPr>
        <w:t>6</w:t>
      </w:r>
      <w:r w:rsidRPr="00C70AF0">
        <w:rPr>
          <w:rFonts w:cs="Arial"/>
          <w:sz w:val="22"/>
          <w:szCs w:val="22"/>
          <w:lang w:val="sr-Cyrl-CS"/>
        </w:rPr>
        <w:t>. године, благовремена, одговарајућа</w:t>
      </w:r>
      <w:r w:rsidR="00CB6405" w:rsidRPr="00C70AF0">
        <w:rPr>
          <w:rFonts w:cs="Arial"/>
          <w:sz w:val="22"/>
          <w:szCs w:val="22"/>
          <w:lang w:val="sr-Cyrl-CS"/>
        </w:rPr>
        <w:t>,</w:t>
      </w:r>
      <w:r w:rsidRPr="00C70AF0">
        <w:rPr>
          <w:rFonts w:cs="Arial"/>
          <w:i/>
          <w:sz w:val="22"/>
          <w:szCs w:val="22"/>
          <w:lang w:val="sr-Cyrl-CS"/>
        </w:rPr>
        <w:t xml:space="preserve"> </w:t>
      </w:r>
      <w:r w:rsidRPr="00C70AF0">
        <w:rPr>
          <w:rFonts w:cs="Arial"/>
          <w:sz w:val="22"/>
          <w:szCs w:val="22"/>
          <w:lang w:val="sr-Cyrl-CS"/>
        </w:rPr>
        <w:t xml:space="preserve">прихватљива и прворангирана са понуђеном ценом од </w:t>
      </w:r>
      <w:r w:rsidR="00C70AF0" w:rsidRPr="00C70AF0">
        <w:rPr>
          <w:rFonts w:cs="Arial"/>
          <w:sz w:val="22"/>
          <w:szCs w:val="22"/>
          <w:lang w:val="sr-Latn-RS"/>
        </w:rPr>
        <w:t xml:space="preserve"> </w:t>
      </w:r>
      <w:r w:rsidR="00C70AF0" w:rsidRPr="00C70AF0">
        <w:rPr>
          <w:rFonts w:cs="Arial"/>
          <w:sz w:val="22"/>
          <w:szCs w:val="22"/>
          <w:lang w:val="sr-Cyrl-RS"/>
        </w:rPr>
        <w:t>20.837.834,82</w:t>
      </w:r>
      <w:r w:rsidR="00C70AF0" w:rsidRPr="00C70AF0">
        <w:rPr>
          <w:rFonts w:cs="Arial"/>
          <w:sz w:val="22"/>
          <w:szCs w:val="22"/>
        </w:rPr>
        <w:t xml:space="preserve"> </w:t>
      </w:r>
      <w:proofErr w:type="spellStart"/>
      <w:r w:rsidR="00C70AF0" w:rsidRPr="00C70AF0">
        <w:rPr>
          <w:rFonts w:cs="Arial"/>
          <w:sz w:val="22"/>
          <w:szCs w:val="22"/>
        </w:rPr>
        <w:t>динара</w:t>
      </w:r>
      <w:proofErr w:type="spellEnd"/>
      <w:r w:rsidR="00C70AF0" w:rsidRPr="00C70AF0">
        <w:rPr>
          <w:rFonts w:cs="Arial"/>
          <w:sz w:val="22"/>
          <w:szCs w:val="22"/>
        </w:rPr>
        <w:t xml:space="preserve"> </w:t>
      </w:r>
      <w:r w:rsidR="00C70AF0" w:rsidRPr="00C70AF0">
        <w:rPr>
          <w:rFonts w:cs="Arial"/>
          <w:sz w:val="22"/>
          <w:szCs w:val="22"/>
          <w:lang w:val="sr-Cyrl-RS"/>
        </w:rPr>
        <w:t xml:space="preserve">односно 168.900,00 евра </w:t>
      </w:r>
      <w:r w:rsidRPr="00C70AF0">
        <w:rPr>
          <w:rFonts w:cs="Arial"/>
          <w:sz w:val="22"/>
          <w:szCs w:val="22"/>
          <w:lang w:val="sr-Cyrl-CS"/>
        </w:rPr>
        <w:t>без ПДВ</w:t>
      </w:r>
      <w:r w:rsidRPr="00C70AF0">
        <w:rPr>
          <w:rFonts w:cs="Arial"/>
          <w:i/>
          <w:sz w:val="22"/>
          <w:szCs w:val="22"/>
          <w:lang w:val="sr-Cyrl-CS"/>
        </w:rPr>
        <w:t>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Pr="00C70AF0" w:rsidRDefault="00393569" w:rsidP="007601AF">
      <w:pPr>
        <w:rPr>
          <w:rFonts w:cs="Arial"/>
          <w:sz w:val="22"/>
          <w:szCs w:val="22"/>
          <w:lang w:val="sr-Latn-R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AC0782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C70AF0">
        <w:rPr>
          <w:rFonts w:cs="Arial"/>
          <w:sz w:val="22"/>
          <w:szCs w:val="22"/>
        </w:rPr>
        <w:t>набав</w:t>
      </w:r>
      <w:r w:rsidR="00CB6405" w:rsidRPr="00C70AF0">
        <w:rPr>
          <w:rFonts w:cs="Arial"/>
          <w:sz w:val="22"/>
          <w:szCs w:val="22"/>
          <w:lang w:val="sr-Cyrl-RS"/>
        </w:rPr>
        <w:t>ка</w:t>
      </w:r>
      <w:r w:rsidR="00CB6405" w:rsidRPr="00C70AF0">
        <w:rPr>
          <w:rFonts w:cs="Arial"/>
          <w:sz w:val="22"/>
          <w:szCs w:val="22"/>
        </w:rPr>
        <w:t xml:space="preserve"> </w:t>
      </w:r>
      <w:r w:rsidR="00CB6405" w:rsidRPr="00C70AF0">
        <w:rPr>
          <w:rFonts w:cs="Arial"/>
          <w:sz w:val="22"/>
          <w:szCs w:val="22"/>
          <w:lang w:val="sr-Cyrl-RS"/>
        </w:rPr>
        <w:t xml:space="preserve">услуга </w:t>
      </w:r>
      <w:r w:rsidR="00C70AF0" w:rsidRPr="00C70AF0">
        <w:rPr>
          <w:rFonts w:cs="Arial"/>
          <w:sz w:val="22"/>
          <w:szCs w:val="22"/>
          <w:lang w:val="sr-Cyrl-RS"/>
        </w:rPr>
        <w:t>:</w:t>
      </w:r>
      <w:r w:rsidR="00C70AF0" w:rsidRPr="00C70AF0">
        <w:rPr>
          <w:rFonts w:eastAsia="Calibri" w:cs="Arial"/>
          <w:b/>
          <w:sz w:val="22"/>
          <w:szCs w:val="22"/>
        </w:rPr>
        <w:t xml:space="preserve"> Капитални ремонт ротора генератора А2</w:t>
      </w:r>
      <w:r w:rsidRPr="00AC0782">
        <w:rPr>
          <w:rFonts w:cs="Arial"/>
          <w:sz w:val="22"/>
          <w:szCs w:val="22"/>
        </w:rPr>
        <w:t xml:space="preserve">, 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="00C70AF0">
        <w:rPr>
          <w:rFonts w:cs="Arial"/>
          <w:sz w:val="22"/>
          <w:szCs w:val="22"/>
        </w:rPr>
        <w:t xml:space="preserve">набавке износи: </w:t>
      </w:r>
      <w:r w:rsidR="00C70AF0" w:rsidRPr="00806EF1">
        <w:rPr>
          <w:rFonts w:cs="Arial"/>
          <w:sz w:val="22"/>
          <w:szCs w:val="22"/>
          <w:lang w:val="sr-Latn-RS"/>
        </w:rPr>
        <w:t>32.000.000,00</w:t>
      </w:r>
      <w:r w:rsidR="00C70AF0" w:rsidRPr="00806EF1">
        <w:rPr>
          <w:rFonts w:cs="Arial"/>
          <w:sz w:val="22"/>
          <w:szCs w:val="22"/>
          <w:lang w:val="ru-RU"/>
        </w:rPr>
        <w:t xml:space="preserve"> динара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C0782" w:rsidTr="00A05379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C70AF0" w:rsidRPr="00AC0782" w:rsidTr="00924C71">
        <w:trPr>
          <w:trHeight w:val="349"/>
        </w:trPr>
        <w:tc>
          <w:tcPr>
            <w:tcW w:w="1018" w:type="dxa"/>
          </w:tcPr>
          <w:p w:rsidR="00C70AF0" w:rsidRPr="00AC0782" w:rsidRDefault="00C70AF0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  <w:vAlign w:val="center"/>
          </w:tcPr>
          <w:p w:rsidR="00C70AF0" w:rsidRPr="005B117B" w:rsidRDefault="00C70AF0" w:rsidP="00BA272C">
            <w:pPr>
              <w:jc w:val="left"/>
              <w:rPr>
                <w:rFonts w:cs="Arial"/>
                <w:i/>
                <w:sz w:val="22"/>
                <w:szCs w:val="22"/>
                <w:lang w:val="sr-Cyrl-RS"/>
              </w:rPr>
            </w:pPr>
            <w:proofErr w:type="spellStart"/>
            <w:r>
              <w:rPr>
                <w:rFonts w:cs="Arial"/>
                <w:i/>
                <w:sz w:val="22"/>
                <w:szCs w:val="22"/>
              </w:rPr>
              <w:t>Ranex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d.o.o </w:t>
            </w:r>
          </w:p>
        </w:tc>
        <w:tc>
          <w:tcPr>
            <w:tcW w:w="2644" w:type="dxa"/>
          </w:tcPr>
          <w:p w:rsidR="00C70AF0" w:rsidRPr="001950BB" w:rsidRDefault="00C70AF0" w:rsidP="00BA272C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  <w:lang w:val="sr-Cyrl-RS"/>
              </w:rPr>
              <w:t>Ул.Хаџи Рувимова 5, 11000 Београд</w:t>
            </w:r>
          </w:p>
        </w:tc>
      </w:tr>
      <w:tr w:rsidR="00C70AF0" w:rsidRPr="00AC0782" w:rsidTr="00924C71">
        <w:trPr>
          <w:trHeight w:val="349"/>
        </w:trPr>
        <w:tc>
          <w:tcPr>
            <w:tcW w:w="1018" w:type="dxa"/>
          </w:tcPr>
          <w:p w:rsidR="00C70AF0" w:rsidRPr="00AC0782" w:rsidRDefault="00C70AF0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338" w:type="dxa"/>
            <w:vAlign w:val="center"/>
          </w:tcPr>
          <w:p w:rsidR="00C70AF0" w:rsidRPr="00670697" w:rsidRDefault="00C70AF0" w:rsidP="00BA272C">
            <w:pPr>
              <w:jc w:val="left"/>
              <w:rPr>
                <w:rFonts w:cs="Arial"/>
                <w:i/>
                <w:sz w:val="22"/>
                <w:szCs w:val="22"/>
                <w:lang w:val="sr-Latn-RS"/>
              </w:rPr>
            </w:pPr>
            <w:r>
              <w:rPr>
                <w:rFonts w:cs="Arial"/>
                <w:i/>
                <w:sz w:val="22"/>
                <w:szCs w:val="22"/>
                <w:lang w:val="sr-Latn-RS"/>
              </w:rPr>
              <w:t xml:space="preserve">EthosEnergy Poland S.A </w:t>
            </w:r>
          </w:p>
        </w:tc>
        <w:tc>
          <w:tcPr>
            <w:tcW w:w="2644" w:type="dxa"/>
          </w:tcPr>
          <w:p w:rsidR="00C70AF0" w:rsidRPr="001950BB" w:rsidRDefault="00C70AF0" w:rsidP="00BA272C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  <w:lang w:val="sr-Latn-RS"/>
              </w:rPr>
              <w:t>Ul. Powstancom Slaskich 85, 42701 Lubliniec, Poland</w:t>
            </w:r>
          </w:p>
        </w:tc>
      </w:tr>
      <w:tr w:rsidR="00C70AF0" w:rsidRPr="00AC0782" w:rsidTr="00924C71">
        <w:trPr>
          <w:trHeight w:val="349"/>
        </w:trPr>
        <w:tc>
          <w:tcPr>
            <w:tcW w:w="1018" w:type="dxa"/>
          </w:tcPr>
          <w:p w:rsidR="00C70AF0" w:rsidRPr="00AC0782" w:rsidRDefault="00C70AF0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5338" w:type="dxa"/>
            <w:vAlign w:val="center"/>
          </w:tcPr>
          <w:p w:rsidR="00C70AF0" w:rsidRPr="00576297" w:rsidRDefault="00C70AF0" w:rsidP="00BA272C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 Power AG </w:t>
            </w:r>
          </w:p>
        </w:tc>
        <w:tc>
          <w:tcPr>
            <w:tcW w:w="2644" w:type="dxa"/>
          </w:tcPr>
          <w:p w:rsidR="00C70AF0" w:rsidRPr="001950BB" w:rsidRDefault="00C70AF0" w:rsidP="00BA272C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Boveristrasse 22, 68309 Mannheim, Germany</w:t>
            </w: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lastRenderedPageBreak/>
        <w:t>Понуде које су одбијене, разлози за њихово одбијање и понуђена цена тих понуда: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670"/>
        <w:gridCol w:w="2130"/>
      </w:tblGrid>
      <w:tr w:rsidR="00A05379" w:rsidRPr="00AC0782" w:rsidTr="00C70AF0">
        <w:trPr>
          <w:trHeight w:val="459"/>
        </w:trPr>
        <w:tc>
          <w:tcPr>
            <w:tcW w:w="1200" w:type="dxa"/>
            <w:vAlign w:val="center"/>
          </w:tcPr>
          <w:p w:rsidR="00A05379" w:rsidRPr="00AC0782" w:rsidRDefault="00A05379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A05379" w:rsidRPr="00AC0782" w:rsidRDefault="00A05379" w:rsidP="001C5979">
            <w:pPr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5670" w:type="dxa"/>
            <w:vAlign w:val="center"/>
          </w:tcPr>
          <w:p w:rsidR="00A05379" w:rsidRPr="00AC0782" w:rsidRDefault="00A05379" w:rsidP="00A0537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2130" w:type="dxa"/>
            <w:vAlign w:val="center"/>
          </w:tcPr>
          <w:p w:rsidR="00A05379" w:rsidRPr="00AC0782" w:rsidRDefault="00A05379" w:rsidP="00CB64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AC0782">
              <w:rPr>
                <w:rFonts w:cs="Arial"/>
                <w:sz w:val="22"/>
                <w:szCs w:val="22"/>
              </w:rPr>
              <w:t>a</w:t>
            </w:r>
            <w:r w:rsidRPr="00AC0782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A05379" w:rsidRPr="00AC0782" w:rsidTr="00C70AF0">
        <w:trPr>
          <w:trHeight w:val="233"/>
        </w:trPr>
        <w:tc>
          <w:tcPr>
            <w:tcW w:w="1200" w:type="dxa"/>
          </w:tcPr>
          <w:p w:rsidR="00A05379" w:rsidRPr="00AC0782" w:rsidRDefault="00C70AF0" w:rsidP="00A05379">
            <w:pPr>
              <w:tabs>
                <w:tab w:val="left" w:pos="433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8327A6" w:rsidRPr="008327A6" w:rsidRDefault="008327A6" w:rsidP="008327A6">
            <w:pPr>
              <w:jc w:val="left"/>
              <w:rPr>
                <w:rFonts w:cs="Arial"/>
                <w:sz w:val="22"/>
                <w:szCs w:val="22"/>
                <w:lang w:val="sr-Latn-RS"/>
              </w:rPr>
            </w:pPr>
            <w:r w:rsidRPr="008327A6">
              <w:rPr>
                <w:rFonts w:cs="Arial"/>
                <w:sz w:val="22"/>
                <w:szCs w:val="22"/>
                <w:lang w:val="sr-Cyrl-CS"/>
              </w:rPr>
              <w:t xml:space="preserve">Понуда понуђача </w:t>
            </w:r>
            <w:r w:rsidRPr="008327A6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8327A6">
              <w:rPr>
                <w:rFonts w:cs="Arial"/>
                <w:i/>
                <w:sz w:val="22"/>
                <w:szCs w:val="22"/>
              </w:rPr>
              <w:t>Ranex</w:t>
            </w:r>
            <w:proofErr w:type="spellEnd"/>
            <w:r w:rsidRPr="008327A6">
              <w:rPr>
                <w:rFonts w:cs="Arial"/>
                <w:i/>
                <w:sz w:val="22"/>
                <w:szCs w:val="22"/>
              </w:rPr>
              <w:t xml:space="preserve"> d.o.o</w:t>
            </w:r>
            <w:r w:rsidRPr="008327A6">
              <w:rPr>
                <w:rFonts w:cs="Arial"/>
                <w:sz w:val="22"/>
                <w:szCs w:val="22"/>
                <w:lang w:val="sr-Cyrl-CS"/>
              </w:rPr>
              <w:t xml:space="preserve"> је</w:t>
            </w:r>
            <w:r w:rsidRPr="008327A6">
              <w:rPr>
                <w:rFonts w:cs="Arial"/>
                <w:i/>
                <w:sz w:val="22"/>
                <w:szCs w:val="22"/>
                <w:lang w:val="sr-Cyrl-CS"/>
              </w:rPr>
              <w:t xml:space="preserve"> </w:t>
            </w:r>
            <w:r w:rsidRPr="008327A6">
              <w:rPr>
                <w:rFonts w:cs="Arial"/>
                <w:sz w:val="22"/>
                <w:szCs w:val="22"/>
                <w:lang w:val="sr-Cyrl-CS"/>
              </w:rPr>
              <w:t xml:space="preserve">неприхватљива због: </w:t>
            </w:r>
          </w:p>
          <w:p w:rsidR="008327A6" w:rsidRPr="008327A6" w:rsidRDefault="008327A6" w:rsidP="008327A6">
            <w:pPr>
              <w:numPr>
                <w:ilvl w:val="0"/>
                <w:numId w:val="9"/>
              </w:num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8327A6">
              <w:rPr>
                <w:rFonts w:cs="Arial"/>
                <w:sz w:val="22"/>
                <w:szCs w:val="22"/>
                <w:lang w:val="sr-Cyrl-RS"/>
              </w:rPr>
              <w:t xml:space="preserve">Понуђач уз понуду није доставио Споразум, којим се понуђачи из групе  међусобно и према Наручиоцу, обавезују на извршење јавне набавке. Наиме, Понуђач </w:t>
            </w:r>
            <w:proofErr w:type="spellStart"/>
            <w:r w:rsidRPr="008327A6">
              <w:rPr>
                <w:rFonts w:cs="Arial"/>
                <w:i/>
                <w:sz w:val="22"/>
                <w:szCs w:val="22"/>
              </w:rPr>
              <w:t>Ranex</w:t>
            </w:r>
            <w:proofErr w:type="spellEnd"/>
            <w:r w:rsidRPr="008327A6">
              <w:rPr>
                <w:rFonts w:cs="Arial"/>
                <w:i/>
                <w:sz w:val="22"/>
                <w:szCs w:val="22"/>
              </w:rPr>
              <w:t xml:space="preserve"> d.o.o</w:t>
            </w:r>
            <w:r w:rsidRPr="008327A6">
              <w:rPr>
                <w:rFonts w:cs="Arial"/>
                <w:i/>
                <w:sz w:val="22"/>
                <w:szCs w:val="22"/>
                <w:lang w:val="sr-Cyrl-RS"/>
              </w:rPr>
              <w:t xml:space="preserve"> наступа у заједничкој понуди са </w:t>
            </w:r>
            <w:r w:rsidRPr="008327A6">
              <w:rPr>
                <w:rFonts w:cs="Arial"/>
                <w:sz w:val="22"/>
                <w:szCs w:val="22"/>
                <w:lang w:val="sr-Latn-RS"/>
              </w:rPr>
              <w:t>Electrotyzhmash</w:t>
            </w:r>
            <w:r w:rsidRPr="008327A6">
              <w:rPr>
                <w:rFonts w:cs="Arial"/>
                <w:sz w:val="22"/>
                <w:szCs w:val="22"/>
                <w:lang w:val="sr-Cyrl-RS"/>
              </w:rPr>
              <w:t xml:space="preserve"> Краков Украјина, и уз понуду није приложио Споразум у складу са чланом 81 став 4 ЗЈН.</w:t>
            </w:r>
          </w:p>
          <w:p w:rsidR="008327A6" w:rsidRPr="008327A6" w:rsidRDefault="008327A6" w:rsidP="008327A6">
            <w:pPr>
              <w:numPr>
                <w:ilvl w:val="0"/>
                <w:numId w:val="9"/>
              </w:num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8327A6">
              <w:rPr>
                <w:rFonts w:cs="Arial"/>
                <w:sz w:val="22"/>
                <w:szCs w:val="22"/>
                <w:lang w:val="sr-Cyrl-RS"/>
              </w:rPr>
              <w:t xml:space="preserve">За члана групе </w:t>
            </w:r>
            <w:r w:rsidRPr="008327A6">
              <w:rPr>
                <w:rFonts w:cs="Arial"/>
                <w:sz w:val="22"/>
                <w:szCs w:val="22"/>
                <w:lang w:val="sr-Latn-RS"/>
              </w:rPr>
              <w:t>Electrotyzhmash</w:t>
            </w:r>
            <w:r w:rsidRPr="008327A6">
              <w:rPr>
                <w:rFonts w:cs="Arial"/>
                <w:sz w:val="22"/>
                <w:szCs w:val="22"/>
                <w:lang w:val="sr-Cyrl-RS"/>
              </w:rPr>
              <w:t xml:space="preserve"> није приложена потписана и печатирана изјава о независној понуди.</w:t>
            </w:r>
          </w:p>
          <w:p w:rsidR="008327A6" w:rsidRPr="008327A6" w:rsidRDefault="008327A6" w:rsidP="008327A6">
            <w:pPr>
              <w:numPr>
                <w:ilvl w:val="0"/>
                <w:numId w:val="9"/>
              </w:numPr>
              <w:jc w:val="left"/>
              <w:rPr>
                <w:rFonts w:cs="Arial"/>
                <w:sz w:val="22"/>
                <w:szCs w:val="22"/>
                <w:lang w:val="sr-Cyrl-RS"/>
              </w:rPr>
            </w:pPr>
            <w:r w:rsidRPr="008327A6">
              <w:rPr>
                <w:rFonts w:cs="Arial"/>
                <w:sz w:val="22"/>
                <w:szCs w:val="22"/>
                <w:lang w:val="sr-Cyrl-RS"/>
              </w:rPr>
              <w:t xml:space="preserve">За члана групе понуђача </w:t>
            </w:r>
            <w:r w:rsidRPr="008327A6">
              <w:rPr>
                <w:rFonts w:cs="Arial"/>
                <w:sz w:val="22"/>
                <w:szCs w:val="22"/>
                <w:lang w:val="sr-Latn-RS"/>
              </w:rPr>
              <w:t>Electrotyzhmash</w:t>
            </w:r>
            <w:r w:rsidRPr="008327A6">
              <w:rPr>
                <w:rFonts w:cs="Arial"/>
                <w:sz w:val="22"/>
                <w:szCs w:val="22"/>
                <w:lang w:val="sr-Cyrl-RS"/>
              </w:rPr>
              <w:t xml:space="preserve"> достављена је изјава да понуђач испуњава услове из члана 75 ЗЈН кја садржински не сад</w:t>
            </w:r>
            <w:r w:rsidR="00B755B9">
              <w:rPr>
                <w:rFonts w:cs="Arial"/>
                <w:sz w:val="22"/>
                <w:szCs w:val="22"/>
                <w:lang w:val="sr-Cyrl-RS"/>
              </w:rPr>
              <w:t>ржи све елементе који су предвиђ</w:t>
            </w:r>
            <w:r w:rsidRPr="008327A6">
              <w:rPr>
                <w:rFonts w:cs="Arial"/>
                <w:sz w:val="22"/>
                <w:szCs w:val="22"/>
                <w:lang w:val="sr-Cyrl-RS"/>
              </w:rPr>
              <w:t>ени конкурсном документацијом. Наиме, изјава није дата под пуном материјалном и кривичном одго</w:t>
            </w:r>
            <w:r w:rsidR="00B755B9">
              <w:rPr>
                <w:rFonts w:cs="Arial"/>
                <w:sz w:val="22"/>
                <w:szCs w:val="22"/>
                <w:lang w:val="sr-Cyrl-RS"/>
              </w:rPr>
              <w:t>ворношћу, а како је било предвиђ</w:t>
            </w:r>
            <w:r w:rsidRPr="008327A6">
              <w:rPr>
                <w:rFonts w:cs="Arial"/>
                <w:sz w:val="22"/>
                <w:szCs w:val="22"/>
                <w:lang w:val="sr-Cyrl-RS"/>
              </w:rPr>
              <w:t xml:space="preserve">ено изјавом која је била саставни део конкурсне документације. </w:t>
            </w:r>
          </w:p>
          <w:p w:rsidR="00A05379" w:rsidRPr="00C70AF0" w:rsidRDefault="00A05379" w:rsidP="00C70AF0">
            <w:pPr>
              <w:jc w:val="left"/>
              <w:rPr>
                <w:rFonts w:cs="Arial"/>
                <w:sz w:val="22"/>
                <w:szCs w:val="22"/>
                <w:lang w:val="sr-Latn-RS"/>
              </w:rPr>
            </w:pPr>
          </w:p>
        </w:tc>
        <w:tc>
          <w:tcPr>
            <w:tcW w:w="2130" w:type="dxa"/>
          </w:tcPr>
          <w:p w:rsidR="00A05379" w:rsidRPr="00AC0782" w:rsidRDefault="00C70AF0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29.397.000,00 дин.</w:t>
            </w:r>
          </w:p>
        </w:tc>
      </w:tr>
    </w:tbl>
    <w:p w:rsidR="00A05379" w:rsidRPr="00AC0782" w:rsidRDefault="00A05379" w:rsidP="00A05379">
      <w:pPr>
        <w:rPr>
          <w:rFonts w:cs="Arial"/>
          <w:sz w:val="22"/>
          <w:szCs w:val="22"/>
        </w:rPr>
      </w:pPr>
    </w:p>
    <w:p w:rsidR="00A05379" w:rsidRPr="00AC0782" w:rsidRDefault="00A05379" w:rsidP="00A05379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</w:rPr>
      </w:pPr>
    </w:p>
    <w:p w:rsidR="00C70AF0" w:rsidRPr="00C70AF0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sz w:val="22"/>
          <w:szCs w:val="22"/>
        </w:rPr>
      </w:pPr>
      <w:r w:rsidRPr="00C70AF0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C70AF0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C70AF0">
        <w:rPr>
          <w:rFonts w:cs="Arial"/>
          <w:sz w:val="22"/>
          <w:szCs w:val="22"/>
        </w:rPr>
        <w:t xml:space="preserve">под редним бројевима: </w:t>
      </w:r>
      <w:r w:rsidR="00B755B9">
        <w:rPr>
          <w:rFonts w:cs="Arial"/>
          <w:sz w:val="22"/>
          <w:szCs w:val="22"/>
          <w:lang w:val="sr-Cyrl-RS"/>
        </w:rPr>
        <w:t>2</w:t>
      </w:r>
      <w:r w:rsidR="00C70AF0" w:rsidRPr="00C70AF0">
        <w:rPr>
          <w:rFonts w:cs="Arial"/>
          <w:sz w:val="22"/>
          <w:szCs w:val="22"/>
          <w:lang w:val="sr-Latn-RS"/>
        </w:rPr>
        <w:t>.</w:t>
      </w:r>
      <w:r w:rsidR="00C70AF0" w:rsidRPr="00C70AF0">
        <w:rPr>
          <w:rFonts w:cs="Arial"/>
          <w:i/>
          <w:sz w:val="22"/>
          <w:szCs w:val="22"/>
          <w:lang w:val="sr-Latn-RS"/>
        </w:rPr>
        <w:t xml:space="preserve"> EthosEnergy Poland S.A Ul. Powstancom Slaskich 85, 42701 Lubliniec, Poland</w:t>
      </w:r>
      <w:r w:rsidR="00C70AF0" w:rsidRPr="00C70AF0">
        <w:rPr>
          <w:rFonts w:cs="Arial"/>
          <w:sz w:val="22"/>
          <w:szCs w:val="22"/>
          <w:lang w:val="sr-Latn-RS"/>
        </w:rPr>
        <w:t>;</w:t>
      </w:r>
    </w:p>
    <w:p w:rsidR="00CF2E48" w:rsidRPr="00C70AF0" w:rsidRDefault="00B755B9" w:rsidP="00C70AF0">
      <w:pPr>
        <w:pStyle w:val="ListParagraph"/>
        <w:ind w:left="360"/>
        <w:contextualSpacing w:val="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>3</w:t>
      </w:r>
      <w:r w:rsidR="00C70AF0" w:rsidRPr="00C70AF0">
        <w:rPr>
          <w:rFonts w:cs="Arial"/>
          <w:sz w:val="22"/>
          <w:szCs w:val="22"/>
          <w:lang w:val="sr-Latn-RS"/>
        </w:rPr>
        <w:t>.</w:t>
      </w:r>
      <w:r w:rsidR="00C70AF0" w:rsidRPr="00C70AF0">
        <w:rPr>
          <w:rFonts w:cs="Arial"/>
          <w:sz w:val="22"/>
          <w:szCs w:val="22"/>
        </w:rPr>
        <w:t xml:space="preserve"> GE Power AG Boveristrasse 22, 68309 Mannheim, Germany</w:t>
      </w:r>
      <w:r w:rsidR="00C70AF0" w:rsidRPr="00C70AF0">
        <w:rPr>
          <w:rFonts w:cs="Arial"/>
          <w:sz w:val="22"/>
          <w:szCs w:val="22"/>
          <w:lang w:val="sr-Latn-RS"/>
        </w:rPr>
        <w:t>,</w:t>
      </w:r>
      <w:r w:rsidR="00A05379" w:rsidRPr="00C70AF0">
        <w:rPr>
          <w:rFonts w:cs="Arial"/>
          <w:sz w:val="22"/>
          <w:szCs w:val="22"/>
        </w:rPr>
        <w:t xml:space="preserve"> </w:t>
      </w:r>
      <w:r w:rsidR="00CF2E48" w:rsidRPr="00C70AF0">
        <w:rPr>
          <w:rFonts w:cs="Arial"/>
          <w:sz w:val="22"/>
          <w:szCs w:val="22"/>
          <w:lang w:val="ru-RU"/>
        </w:rPr>
        <w:t>су благовремене, наручилац их није одбио због битних недостатака, одговарајуће су, не ограничавају, нити условљавају права наручиоца или обавезе понуђача и не прелазе износ процењене вредности јавне набавке, па су као такве оцењене прихватљивим.</w:t>
      </w:r>
    </w:p>
    <w:p w:rsidR="00CB6405" w:rsidRPr="00C70AF0" w:rsidRDefault="00CB6405" w:rsidP="00CB6405">
      <w:pPr>
        <w:pStyle w:val="ListParagraph"/>
        <w:rPr>
          <w:rFonts w:cs="Arial"/>
          <w:i/>
          <w:sz w:val="22"/>
          <w:szCs w:val="22"/>
        </w:rPr>
      </w:pPr>
    </w:p>
    <w:p w:rsidR="00CB6405" w:rsidRPr="00C70AF0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C70AF0">
        <w:rPr>
          <w:rFonts w:cs="Arial"/>
          <w:sz w:val="22"/>
          <w:szCs w:val="22"/>
        </w:rPr>
        <w:t>Критеријум за доделу уговора: најн</w:t>
      </w:r>
      <w:r w:rsidR="00C70AF0" w:rsidRPr="00C70AF0">
        <w:rPr>
          <w:rFonts w:cs="Arial"/>
          <w:sz w:val="22"/>
          <w:szCs w:val="22"/>
        </w:rPr>
        <w:t>ижа понуђена цена</w:t>
      </w:r>
      <w:r w:rsidR="00C70AF0" w:rsidRPr="00C70AF0">
        <w:rPr>
          <w:rFonts w:cs="Arial"/>
          <w:sz w:val="22"/>
          <w:szCs w:val="22"/>
          <w:lang w:val="sr-Latn-RS"/>
        </w:rPr>
        <w:t>.</w:t>
      </w:r>
    </w:p>
    <w:p w:rsidR="00CB6405" w:rsidRPr="00C70AF0" w:rsidRDefault="00CB6405" w:rsidP="00CB6405">
      <w:pPr>
        <w:rPr>
          <w:rFonts w:cs="Arial"/>
          <w:sz w:val="22"/>
          <w:szCs w:val="22"/>
          <w:lang w:val="sr-Cyrl-RS"/>
        </w:rPr>
      </w:pPr>
    </w:p>
    <w:p w:rsidR="009633B0" w:rsidRDefault="009633B0" w:rsidP="009633B0">
      <w:pPr>
        <w:pStyle w:val="ListParagraph"/>
        <w:ind w:left="360"/>
        <w:contextualSpacing w:val="0"/>
        <w:rPr>
          <w:rFonts w:cs="Arial"/>
          <w:i/>
          <w:sz w:val="22"/>
          <w:szCs w:val="22"/>
          <w:lang w:val="sr-Cyrl-RS"/>
        </w:rPr>
      </w:pPr>
    </w:p>
    <w:p w:rsidR="009B511E" w:rsidRDefault="009B511E" w:rsidP="009633B0">
      <w:pPr>
        <w:pStyle w:val="ListParagraph"/>
        <w:ind w:left="360"/>
        <w:contextualSpacing w:val="0"/>
        <w:rPr>
          <w:rFonts w:cs="Arial"/>
          <w:i/>
          <w:sz w:val="22"/>
          <w:szCs w:val="22"/>
          <w:lang w:val="sr-Cyrl-RS"/>
        </w:rPr>
      </w:pPr>
    </w:p>
    <w:p w:rsidR="009B511E" w:rsidRPr="009B511E" w:rsidRDefault="009B511E" w:rsidP="009633B0">
      <w:pPr>
        <w:pStyle w:val="ListParagraph"/>
        <w:ind w:left="360"/>
        <w:contextualSpacing w:val="0"/>
        <w:rPr>
          <w:rFonts w:cs="Arial"/>
          <w:i/>
          <w:sz w:val="22"/>
          <w:szCs w:val="22"/>
          <w:lang w:val="sr-Cyrl-RS"/>
        </w:rPr>
      </w:pPr>
    </w:p>
    <w:p w:rsidR="0081771D" w:rsidRPr="00AC0782" w:rsidRDefault="0081771D" w:rsidP="00CB6405">
      <w:pPr>
        <w:rPr>
          <w:rFonts w:cs="Arial"/>
          <w:sz w:val="22"/>
          <w:szCs w:val="22"/>
        </w:rPr>
      </w:pPr>
      <w:proofErr w:type="spellStart"/>
      <w:r w:rsidRPr="00C70AF0">
        <w:rPr>
          <w:rFonts w:cs="Arial"/>
          <w:sz w:val="22"/>
          <w:szCs w:val="22"/>
        </w:rPr>
        <w:t>Комисија</w:t>
      </w:r>
      <w:proofErr w:type="spellEnd"/>
      <w:r w:rsidR="00D17345" w:rsidRPr="00C70AF0">
        <w:rPr>
          <w:rFonts w:cs="Arial"/>
          <w:sz w:val="22"/>
          <w:szCs w:val="22"/>
          <w:lang w:val="sr-Cyrl-RS"/>
        </w:rPr>
        <w:t xml:space="preserve"> је</w:t>
      </w:r>
      <w:r w:rsidRPr="00C70AF0">
        <w:rPr>
          <w:rFonts w:cs="Arial"/>
          <w:sz w:val="22"/>
          <w:szCs w:val="22"/>
        </w:rPr>
        <w:t xml:space="preserve"> </w:t>
      </w:r>
      <w:proofErr w:type="spellStart"/>
      <w:r w:rsidRPr="00C70AF0">
        <w:rPr>
          <w:rFonts w:cs="Arial"/>
          <w:sz w:val="22"/>
          <w:szCs w:val="22"/>
        </w:rPr>
        <w:t>након</w:t>
      </w:r>
      <w:proofErr w:type="spellEnd"/>
      <w:r w:rsidRPr="00C70AF0">
        <w:rPr>
          <w:rFonts w:cs="Arial"/>
          <w:sz w:val="22"/>
          <w:szCs w:val="22"/>
        </w:rPr>
        <w:t xml:space="preserve"> </w:t>
      </w:r>
      <w:proofErr w:type="spellStart"/>
      <w:r w:rsidRPr="00C70AF0">
        <w:rPr>
          <w:rFonts w:cs="Arial"/>
          <w:sz w:val="22"/>
          <w:szCs w:val="22"/>
        </w:rPr>
        <w:t>прегледа</w:t>
      </w:r>
      <w:proofErr w:type="spellEnd"/>
      <w:r w:rsidRPr="00C70AF0">
        <w:rPr>
          <w:rFonts w:cs="Arial"/>
          <w:sz w:val="22"/>
          <w:szCs w:val="22"/>
        </w:rPr>
        <w:t xml:space="preserve"> и </w:t>
      </w:r>
      <w:proofErr w:type="spellStart"/>
      <w:r w:rsidRPr="00C70AF0">
        <w:rPr>
          <w:rFonts w:cs="Arial"/>
          <w:sz w:val="22"/>
          <w:szCs w:val="22"/>
        </w:rPr>
        <w:t>стручне</w:t>
      </w:r>
      <w:proofErr w:type="spellEnd"/>
      <w:r w:rsidRPr="00C70AF0">
        <w:rPr>
          <w:rFonts w:cs="Arial"/>
          <w:sz w:val="22"/>
          <w:szCs w:val="22"/>
        </w:rPr>
        <w:t xml:space="preserve"> </w:t>
      </w:r>
      <w:proofErr w:type="spellStart"/>
      <w:r w:rsidRPr="00C70AF0">
        <w:rPr>
          <w:rFonts w:cs="Arial"/>
          <w:sz w:val="22"/>
          <w:szCs w:val="22"/>
        </w:rPr>
        <w:t>оцене</w:t>
      </w:r>
      <w:proofErr w:type="spellEnd"/>
      <w:r w:rsidRPr="00C70AF0">
        <w:rPr>
          <w:rFonts w:cs="Arial"/>
          <w:sz w:val="22"/>
          <w:szCs w:val="22"/>
        </w:rPr>
        <w:t xml:space="preserve"> </w:t>
      </w:r>
      <w:proofErr w:type="spellStart"/>
      <w:r w:rsidRPr="00C70AF0">
        <w:rPr>
          <w:rFonts w:cs="Arial"/>
          <w:sz w:val="22"/>
          <w:szCs w:val="22"/>
        </w:rPr>
        <w:t>понуда</w:t>
      </w:r>
      <w:proofErr w:type="spellEnd"/>
      <w:r w:rsidRPr="00C70AF0">
        <w:rPr>
          <w:rFonts w:cs="Arial"/>
          <w:sz w:val="22"/>
          <w:szCs w:val="22"/>
        </w:rPr>
        <w:t xml:space="preserve"> и </w:t>
      </w:r>
      <w:proofErr w:type="spellStart"/>
      <w:r w:rsidRPr="00C70AF0">
        <w:rPr>
          <w:rFonts w:cs="Arial"/>
          <w:sz w:val="22"/>
          <w:szCs w:val="22"/>
        </w:rPr>
        <w:t>одбијања</w:t>
      </w:r>
      <w:proofErr w:type="spellEnd"/>
      <w:r w:rsidRPr="00C70AF0">
        <w:rPr>
          <w:rFonts w:cs="Arial"/>
          <w:sz w:val="22"/>
          <w:szCs w:val="22"/>
        </w:rPr>
        <w:t xml:space="preserve"> </w:t>
      </w:r>
      <w:proofErr w:type="spellStart"/>
      <w:r w:rsidRPr="00C70AF0">
        <w:rPr>
          <w:rFonts w:cs="Arial"/>
          <w:sz w:val="22"/>
          <w:szCs w:val="22"/>
        </w:rPr>
        <w:t>неприхватљивих</w:t>
      </w:r>
      <w:proofErr w:type="spellEnd"/>
      <w:r w:rsidRPr="00C70AF0">
        <w:rPr>
          <w:rFonts w:cs="Arial"/>
          <w:sz w:val="22"/>
          <w:szCs w:val="22"/>
        </w:rPr>
        <w:t xml:space="preserve"> </w:t>
      </w:r>
      <w:proofErr w:type="spellStart"/>
      <w:r w:rsidRPr="00C70AF0">
        <w:rPr>
          <w:rFonts w:cs="Arial"/>
          <w:sz w:val="22"/>
          <w:szCs w:val="22"/>
        </w:rPr>
        <w:t>понуда</w:t>
      </w:r>
      <w:proofErr w:type="spellEnd"/>
      <w:r w:rsidRPr="00C70AF0">
        <w:rPr>
          <w:rFonts w:cs="Arial"/>
          <w:sz w:val="22"/>
          <w:szCs w:val="22"/>
        </w:rPr>
        <w:t xml:space="preserve">, </w:t>
      </w:r>
      <w:proofErr w:type="spellStart"/>
      <w:r w:rsidRPr="00C70AF0">
        <w:rPr>
          <w:rFonts w:cs="Arial"/>
          <w:b/>
          <w:sz w:val="22"/>
          <w:szCs w:val="22"/>
        </w:rPr>
        <w:t>прихватљиве</w:t>
      </w:r>
      <w:proofErr w:type="spellEnd"/>
      <w:r w:rsidRPr="00C70AF0">
        <w:rPr>
          <w:rFonts w:cs="Arial"/>
          <w:b/>
          <w:sz w:val="22"/>
          <w:szCs w:val="22"/>
        </w:rPr>
        <w:t xml:space="preserve"> </w:t>
      </w:r>
      <w:proofErr w:type="spellStart"/>
      <w:r w:rsidRPr="00C70AF0">
        <w:rPr>
          <w:rFonts w:cs="Arial"/>
          <w:b/>
          <w:sz w:val="22"/>
          <w:szCs w:val="22"/>
        </w:rPr>
        <w:t>понуде</w:t>
      </w:r>
      <w:proofErr w:type="spellEnd"/>
      <w:r w:rsidRPr="00C70AF0">
        <w:rPr>
          <w:rFonts w:cs="Arial"/>
          <w:b/>
          <w:sz w:val="22"/>
          <w:szCs w:val="22"/>
        </w:rPr>
        <w:t xml:space="preserve"> </w:t>
      </w:r>
      <w:proofErr w:type="spellStart"/>
      <w:r w:rsidRPr="00C70AF0">
        <w:rPr>
          <w:rFonts w:cs="Arial"/>
          <w:b/>
          <w:sz w:val="22"/>
          <w:szCs w:val="22"/>
        </w:rPr>
        <w:t>рангира</w:t>
      </w:r>
      <w:proofErr w:type="spellEnd"/>
      <w:r w:rsidR="00D17345" w:rsidRPr="00C70AF0">
        <w:rPr>
          <w:rFonts w:cs="Arial"/>
          <w:b/>
          <w:sz w:val="22"/>
          <w:szCs w:val="22"/>
          <w:lang w:val="sr-Cyrl-RS"/>
        </w:rPr>
        <w:t>ла</w:t>
      </w:r>
      <w:r w:rsidRPr="00C70AF0">
        <w:rPr>
          <w:rFonts w:cs="Arial"/>
          <w:sz w:val="22"/>
          <w:szCs w:val="22"/>
        </w:rPr>
        <w:t xml:space="preserve"> </w:t>
      </w:r>
      <w:proofErr w:type="spellStart"/>
      <w:r w:rsidRPr="00C70AF0">
        <w:rPr>
          <w:rFonts w:cs="Arial"/>
          <w:sz w:val="22"/>
          <w:szCs w:val="22"/>
        </w:rPr>
        <w:t>применом</w:t>
      </w:r>
      <w:proofErr w:type="spellEnd"/>
      <w:r w:rsidRPr="00C70AF0">
        <w:rPr>
          <w:rFonts w:cs="Arial"/>
          <w:sz w:val="22"/>
          <w:szCs w:val="22"/>
        </w:rPr>
        <w:t xml:space="preserve"> </w:t>
      </w:r>
      <w:proofErr w:type="spellStart"/>
      <w:r w:rsidRPr="00C70AF0">
        <w:rPr>
          <w:rFonts w:cs="Arial"/>
          <w:sz w:val="22"/>
          <w:szCs w:val="22"/>
        </w:rPr>
        <w:t>критеријума</w:t>
      </w:r>
      <w:proofErr w:type="spellEnd"/>
      <w:r w:rsidRPr="00C70AF0">
        <w:rPr>
          <w:rFonts w:cs="Arial"/>
          <w:sz w:val="22"/>
          <w:szCs w:val="22"/>
        </w:rPr>
        <w:t xml:space="preserve"> „</w:t>
      </w:r>
      <w:proofErr w:type="spellStart"/>
      <w:r w:rsidRPr="00C70AF0">
        <w:rPr>
          <w:rFonts w:cs="Arial"/>
          <w:sz w:val="22"/>
          <w:szCs w:val="22"/>
        </w:rPr>
        <w:t>најнижа</w:t>
      </w:r>
      <w:proofErr w:type="spellEnd"/>
      <w:r w:rsidRPr="00C70AF0">
        <w:rPr>
          <w:rFonts w:cs="Arial"/>
          <w:sz w:val="22"/>
          <w:szCs w:val="22"/>
        </w:rPr>
        <w:t xml:space="preserve"> </w:t>
      </w:r>
      <w:proofErr w:type="spellStart"/>
      <w:r w:rsidRPr="00C70AF0">
        <w:rPr>
          <w:rFonts w:cs="Arial"/>
          <w:sz w:val="22"/>
          <w:szCs w:val="22"/>
        </w:rPr>
        <w:t>понуђена</w:t>
      </w:r>
      <w:proofErr w:type="spellEnd"/>
      <w:r w:rsidRPr="00C70AF0">
        <w:rPr>
          <w:rFonts w:cs="Arial"/>
          <w:sz w:val="22"/>
          <w:szCs w:val="22"/>
        </w:rPr>
        <w:t xml:space="preserve"> </w:t>
      </w:r>
      <w:proofErr w:type="spellStart"/>
      <w:r w:rsidRPr="00C70AF0">
        <w:rPr>
          <w:rFonts w:cs="Arial"/>
          <w:sz w:val="22"/>
          <w:szCs w:val="22"/>
        </w:rPr>
        <w:t>цена</w:t>
      </w:r>
      <w:proofErr w:type="spellEnd"/>
      <w:proofErr w:type="gramStart"/>
      <w:r w:rsidRPr="00C70AF0">
        <w:rPr>
          <w:rFonts w:cs="Arial"/>
          <w:sz w:val="22"/>
          <w:szCs w:val="22"/>
        </w:rPr>
        <w:t xml:space="preserve">“ </w:t>
      </w:r>
      <w:proofErr w:type="spellStart"/>
      <w:r w:rsidRPr="00C70AF0">
        <w:rPr>
          <w:rFonts w:cs="Arial"/>
          <w:sz w:val="22"/>
          <w:szCs w:val="22"/>
        </w:rPr>
        <w:t>на</w:t>
      </w:r>
      <w:proofErr w:type="spellEnd"/>
      <w:proofErr w:type="gramEnd"/>
      <w:r w:rsidRPr="00C70AF0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следећи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начин</w:t>
      </w:r>
      <w:proofErr w:type="spellEnd"/>
      <w:r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8"/>
        <w:gridCol w:w="3742"/>
        <w:gridCol w:w="2950"/>
        <w:gridCol w:w="1280"/>
      </w:tblGrid>
      <w:tr w:rsidR="009D5C03" w:rsidRPr="00AC0782" w:rsidTr="00C70AF0">
        <w:tc>
          <w:tcPr>
            <w:tcW w:w="1028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lastRenderedPageBreak/>
              <w:t>Ред</w:t>
            </w:r>
            <w:proofErr w:type="spellEnd"/>
            <w:r w:rsidRPr="00AC0782">
              <w:rPr>
                <w:rFonts w:cs="Arial"/>
                <w:i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i/>
                <w:sz w:val="22"/>
                <w:szCs w:val="22"/>
              </w:rPr>
              <w:t>.</w:t>
            </w:r>
          </w:p>
        </w:tc>
        <w:tc>
          <w:tcPr>
            <w:tcW w:w="3742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Понуђач</w:t>
            </w:r>
            <w:proofErr w:type="spellEnd"/>
          </w:p>
        </w:tc>
        <w:tc>
          <w:tcPr>
            <w:tcW w:w="2950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1280" w:type="dxa"/>
            <w:vAlign w:val="center"/>
          </w:tcPr>
          <w:p w:rsidR="0081771D" w:rsidRPr="00AC0782" w:rsidRDefault="0081771D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i/>
                <w:sz w:val="22"/>
                <w:szCs w:val="22"/>
              </w:rPr>
              <w:t>Ранг</w:t>
            </w:r>
            <w:proofErr w:type="spellEnd"/>
          </w:p>
        </w:tc>
      </w:tr>
      <w:tr w:rsidR="00C70AF0" w:rsidRPr="00AC0782" w:rsidTr="00C70AF0">
        <w:tc>
          <w:tcPr>
            <w:tcW w:w="1028" w:type="dxa"/>
            <w:vAlign w:val="center"/>
          </w:tcPr>
          <w:p w:rsidR="00C70AF0" w:rsidRPr="00C70AF0" w:rsidRDefault="00C70AF0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  <w:lang w:val="sr-Latn-RS"/>
              </w:rPr>
            </w:pPr>
            <w:r>
              <w:rPr>
                <w:rFonts w:cs="Arial"/>
                <w:i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3742" w:type="dxa"/>
          </w:tcPr>
          <w:p w:rsidR="00C70AF0" w:rsidRPr="001950BB" w:rsidRDefault="00C70AF0" w:rsidP="00BA27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  <w:lang w:val="sr-Latn-RS"/>
              </w:rPr>
              <w:t>EthosEnergy Poland S.A</w:t>
            </w:r>
            <w:r w:rsidRPr="00806EF1">
              <w:rPr>
                <w:rFonts w:cs="Arial"/>
                <w:i/>
                <w:sz w:val="22"/>
                <w:szCs w:val="22"/>
                <w:lang w:val="sr-Latn-RS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  <w:lang w:val="sr-Latn-RS"/>
              </w:rPr>
              <w:t>Ul. Powstancom Slaskich 85, 42701 Lubliniec, Poland</w:t>
            </w:r>
          </w:p>
        </w:tc>
        <w:tc>
          <w:tcPr>
            <w:tcW w:w="2950" w:type="dxa"/>
          </w:tcPr>
          <w:p w:rsidR="00C70AF0" w:rsidRPr="001950BB" w:rsidRDefault="00C70AF0" w:rsidP="00BA272C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20.837.834,82</w:t>
            </w:r>
            <w:r w:rsidRPr="001950B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950BB">
              <w:rPr>
                <w:rFonts w:cs="Arial"/>
                <w:sz w:val="22"/>
                <w:szCs w:val="22"/>
              </w:rPr>
              <w:t>динара</w:t>
            </w:r>
            <w:proofErr w:type="spellEnd"/>
            <w:r w:rsidRPr="001950B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lang w:val="sr-Cyrl-RS"/>
              </w:rPr>
              <w:t>односно 168.900,00 евра</w:t>
            </w:r>
          </w:p>
        </w:tc>
        <w:tc>
          <w:tcPr>
            <w:tcW w:w="1280" w:type="dxa"/>
          </w:tcPr>
          <w:p w:rsidR="00C70AF0" w:rsidRPr="00806EF1" w:rsidRDefault="00C70AF0" w:rsidP="00C70AF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1</w:t>
            </w:r>
          </w:p>
        </w:tc>
      </w:tr>
      <w:tr w:rsidR="00C70AF0" w:rsidRPr="00AC0782" w:rsidTr="00C70AF0">
        <w:tc>
          <w:tcPr>
            <w:tcW w:w="1028" w:type="dxa"/>
            <w:vAlign w:val="center"/>
          </w:tcPr>
          <w:p w:rsidR="00C70AF0" w:rsidRPr="00C70AF0" w:rsidRDefault="00C70AF0" w:rsidP="0081771D">
            <w:pPr>
              <w:ind w:left="360"/>
              <w:jc w:val="center"/>
              <w:rPr>
                <w:rFonts w:cs="Arial"/>
                <w:i/>
                <w:sz w:val="22"/>
                <w:szCs w:val="22"/>
                <w:lang w:val="sr-Latn-RS"/>
              </w:rPr>
            </w:pPr>
            <w:r>
              <w:rPr>
                <w:rFonts w:cs="Arial"/>
                <w:i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3742" w:type="dxa"/>
          </w:tcPr>
          <w:p w:rsidR="00C70AF0" w:rsidRPr="001950BB" w:rsidRDefault="00C70AF0" w:rsidP="00BA27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 Power AG</w:t>
            </w:r>
            <w:r w:rsidRPr="00806EF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Boveristrasse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22, 68309 Mannheim, Germany</w:t>
            </w:r>
          </w:p>
        </w:tc>
        <w:tc>
          <w:tcPr>
            <w:tcW w:w="2950" w:type="dxa"/>
          </w:tcPr>
          <w:p w:rsidR="00C70AF0" w:rsidRPr="001950BB" w:rsidRDefault="00C70AF0" w:rsidP="00BA272C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27.142.236,00</w:t>
            </w:r>
            <w:r w:rsidRPr="001950B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950BB">
              <w:rPr>
                <w:rFonts w:cs="Arial"/>
                <w:sz w:val="22"/>
                <w:szCs w:val="22"/>
              </w:rPr>
              <w:t>динара</w:t>
            </w:r>
            <w:proofErr w:type="spellEnd"/>
            <w:r w:rsidRPr="001950B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lang w:val="sr-Cyrl-RS"/>
              </w:rPr>
              <w:t>односно 220.000,00 евра</w:t>
            </w:r>
          </w:p>
        </w:tc>
        <w:tc>
          <w:tcPr>
            <w:tcW w:w="1280" w:type="dxa"/>
          </w:tcPr>
          <w:p w:rsidR="00C70AF0" w:rsidRPr="00806EF1" w:rsidRDefault="00C70AF0" w:rsidP="00C70AF0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2</w:t>
            </w:r>
          </w:p>
        </w:tc>
      </w:tr>
    </w:tbl>
    <w:p w:rsidR="008E79E7" w:rsidRPr="00AC0782" w:rsidRDefault="008E79E7" w:rsidP="008E79E7">
      <w:pPr>
        <w:rPr>
          <w:rFonts w:cs="Arial"/>
          <w:color w:val="FF0000"/>
          <w:sz w:val="22"/>
          <w:szCs w:val="22"/>
          <w:lang w:val="sr-Cyrl-RS"/>
        </w:rPr>
      </w:pPr>
    </w:p>
    <w:p w:rsidR="008E79E7" w:rsidRPr="00C70AF0" w:rsidRDefault="008E79E7" w:rsidP="008E79E7">
      <w:pPr>
        <w:rPr>
          <w:rFonts w:cs="Arial"/>
          <w:sz w:val="22"/>
          <w:szCs w:val="22"/>
          <w:lang w:val="sr-Latn-RS"/>
        </w:rPr>
      </w:pPr>
    </w:p>
    <w:p w:rsidR="00CF2E48" w:rsidRPr="00AC0782" w:rsidRDefault="00CF2E48" w:rsidP="009D5C0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 xml:space="preserve">На основу наведеног Комисија је предложила Наручиоцу да донесе одлуку о додели уговора </w:t>
      </w:r>
      <w:r w:rsidRPr="00AC0782">
        <w:rPr>
          <w:rFonts w:cs="Arial"/>
          <w:sz w:val="22"/>
          <w:szCs w:val="22"/>
        </w:rPr>
        <w:t>понуђачу</w:t>
      </w:r>
      <w:r w:rsidR="00C70AF0">
        <w:rPr>
          <w:rFonts w:cs="Arial"/>
          <w:i/>
          <w:color w:val="4F81BD"/>
          <w:sz w:val="22"/>
          <w:szCs w:val="22"/>
          <w:lang w:val="ru-RU"/>
        </w:rPr>
        <w:t>:</w:t>
      </w:r>
      <w:r w:rsidR="00C70AF0" w:rsidRPr="00C70AF0">
        <w:rPr>
          <w:rFonts w:cs="Arial"/>
          <w:i/>
          <w:sz w:val="22"/>
          <w:szCs w:val="22"/>
          <w:lang w:val="sr-Latn-RS"/>
        </w:rPr>
        <w:t xml:space="preserve"> </w:t>
      </w:r>
      <w:r w:rsidR="00C70AF0">
        <w:rPr>
          <w:rFonts w:cs="Arial"/>
          <w:i/>
          <w:sz w:val="22"/>
          <w:szCs w:val="22"/>
          <w:lang w:val="sr-Latn-RS"/>
        </w:rPr>
        <w:t>EthosEnergy Poland S.A</w:t>
      </w:r>
      <w:r w:rsidR="00C70AF0" w:rsidRPr="00806EF1">
        <w:rPr>
          <w:rFonts w:cs="Arial"/>
          <w:i/>
          <w:sz w:val="22"/>
          <w:szCs w:val="22"/>
          <w:lang w:val="sr-Latn-RS"/>
        </w:rPr>
        <w:t xml:space="preserve"> </w:t>
      </w:r>
      <w:r w:rsidR="00C70AF0">
        <w:rPr>
          <w:rFonts w:cs="Arial"/>
          <w:i/>
          <w:sz w:val="22"/>
          <w:szCs w:val="22"/>
          <w:lang w:val="sr-Latn-RS"/>
        </w:rPr>
        <w:t>Ul. Powstancom Slaskich 85, 42701 Lubliniec, Poland</w:t>
      </w:r>
      <w:r w:rsidRPr="00AC0782">
        <w:rPr>
          <w:rFonts w:cs="Arial"/>
          <w:sz w:val="22"/>
          <w:szCs w:val="22"/>
          <w:lang w:val="ru-RU"/>
        </w:rPr>
        <w:t xml:space="preserve">, чија је понуда благовремена, одговарајућа, прихватљива и прворангирана, са понуђеном ценом од </w:t>
      </w:r>
      <w:r w:rsidR="00C70AF0">
        <w:rPr>
          <w:rFonts w:cs="Arial"/>
          <w:sz w:val="22"/>
          <w:szCs w:val="22"/>
          <w:lang w:val="sr-Cyrl-RS"/>
        </w:rPr>
        <w:t>20.837.834,82</w:t>
      </w:r>
      <w:r w:rsidR="00C70AF0" w:rsidRPr="001950BB">
        <w:rPr>
          <w:rFonts w:cs="Arial"/>
          <w:sz w:val="22"/>
          <w:szCs w:val="22"/>
        </w:rPr>
        <w:t xml:space="preserve"> динара </w:t>
      </w:r>
      <w:r w:rsidR="00C70AF0">
        <w:rPr>
          <w:rFonts w:cs="Arial"/>
          <w:sz w:val="22"/>
          <w:szCs w:val="22"/>
          <w:lang w:val="sr-Cyrl-RS"/>
        </w:rPr>
        <w:t>односно 168.900,00 евра</w:t>
      </w:r>
      <w:r w:rsidR="00C70AF0" w:rsidRPr="00AC0782">
        <w:rPr>
          <w:rFonts w:cs="Arial"/>
          <w:sz w:val="22"/>
          <w:szCs w:val="22"/>
          <w:lang w:val="ru-RU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>без ПДВ.</w:t>
      </w:r>
    </w:p>
    <w:p w:rsidR="00CF2E48" w:rsidRPr="00C70AF0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sr-Latn-RS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70AF0" w:rsidRDefault="00C70AF0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sr-Latn-RS"/>
        </w:rPr>
      </w:pPr>
    </w:p>
    <w:p w:rsidR="00C70AF0" w:rsidRPr="00C70AF0" w:rsidRDefault="00C70AF0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sr-Latn-RS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sr-Latn-RS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  <w:p w:rsidR="00C70AF0" w:rsidRPr="00C70AF0" w:rsidRDefault="00C70AF0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sr-Latn-RS" w:eastAsia="ar-SA"/>
              </w:rPr>
            </w:pP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9B511E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>Милорад Лазић</w:t>
            </w:r>
            <w:r w:rsidR="0024644F" w:rsidRPr="00940784">
              <w:rPr>
                <w:rFonts w:cs="Arial"/>
                <w:sz w:val="22"/>
                <w:szCs w:val="22"/>
                <w:lang w:val="sr-Cyrl-CS"/>
              </w:rPr>
              <w:t>, дипл.</w:t>
            </w:r>
            <w:r w:rsidR="00975B69" w:rsidRPr="00940784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65" w:rsidRDefault="00290265" w:rsidP="007601AF">
      <w:r>
        <w:separator/>
      </w:r>
    </w:p>
  </w:endnote>
  <w:endnote w:type="continuationSeparator" w:id="0">
    <w:p w:rsidR="00290265" w:rsidRDefault="00290265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B31DB7">
      <w:rPr>
        <w:bCs/>
        <w:i/>
        <w:noProof/>
        <w:sz w:val="16"/>
        <w:szCs w:val="16"/>
      </w:rPr>
      <w:t>3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B31DB7">
      <w:rPr>
        <w:bCs/>
        <w:i/>
        <w:noProof/>
        <w:sz w:val="16"/>
        <w:szCs w:val="16"/>
      </w:rPr>
      <w:t>3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65" w:rsidRDefault="00290265" w:rsidP="007601AF">
      <w:r>
        <w:separator/>
      </w:r>
    </w:p>
  </w:footnote>
  <w:footnote w:type="continuationSeparator" w:id="0">
    <w:p w:rsidR="00290265" w:rsidRDefault="00290265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874EED" w:rsidRPr="00933BCC" w:rsidTr="00E973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74EED" w:rsidRPr="00933BCC" w:rsidRDefault="00874EED" w:rsidP="00E9736F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8125260" wp14:editId="61EEE24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  <w:lang w:val="sr-Latn-RS"/>
            </w:rPr>
            <w:alias w:val="Title"/>
            <w:tag w:val=""/>
            <w:id w:val="-1583907690"/>
            <w:placeholder>
              <w:docPart w:val="774924BE21A64A7EB5D1A6996B6E3B2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74EED" w:rsidRPr="00E23434" w:rsidRDefault="00874EED" w:rsidP="00874EED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874EED">
                <w:rPr>
                  <w:rFonts w:cs="Arial"/>
                  <w:b/>
                  <w:sz w:val="22"/>
                  <w:szCs w:val="22"/>
                  <w:lang w:val="sr-Latn-RS"/>
                </w:rPr>
                <w:t xml:space="preserve"> Одлука о додели уговора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74EED" w:rsidRPr="00933BCC" w:rsidRDefault="00874EED" w:rsidP="00E9736F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3D43901D781F4ED1A289B2B69447C0E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74EED" w:rsidRPr="00E23434" w:rsidRDefault="00874EED" w:rsidP="00E9736F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874EED" w:rsidRPr="00B86FF2" w:rsidTr="00E973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74EED" w:rsidRPr="00933BCC" w:rsidRDefault="00874EED" w:rsidP="00E9736F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74EED" w:rsidRPr="00933BCC" w:rsidRDefault="00874EED" w:rsidP="00E9736F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74EED" w:rsidRPr="00933BCC" w:rsidRDefault="00874EED" w:rsidP="00E9736F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74EED" w:rsidRPr="00552D0C" w:rsidRDefault="00874EED" w:rsidP="00E9736F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31DB7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31DB7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2E5A62" w:rsidRDefault="002E5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E4ED2"/>
    <w:multiLevelType w:val="hybridMultilevel"/>
    <w:tmpl w:val="BE8C9AD4"/>
    <w:lvl w:ilvl="0" w:tplc="7A7A4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52280"/>
    <w:rsid w:val="001A3A6A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0265"/>
    <w:rsid w:val="00291902"/>
    <w:rsid w:val="002A7C97"/>
    <w:rsid w:val="002B1CFA"/>
    <w:rsid w:val="002D2827"/>
    <w:rsid w:val="002D5A12"/>
    <w:rsid w:val="002E5A62"/>
    <w:rsid w:val="002E7364"/>
    <w:rsid w:val="003060E6"/>
    <w:rsid w:val="003228F8"/>
    <w:rsid w:val="00323652"/>
    <w:rsid w:val="00380E29"/>
    <w:rsid w:val="00393569"/>
    <w:rsid w:val="0039418C"/>
    <w:rsid w:val="003A1CF0"/>
    <w:rsid w:val="003E21F6"/>
    <w:rsid w:val="00422570"/>
    <w:rsid w:val="00460D97"/>
    <w:rsid w:val="0046444D"/>
    <w:rsid w:val="00476274"/>
    <w:rsid w:val="004D799B"/>
    <w:rsid w:val="004F547E"/>
    <w:rsid w:val="00525C31"/>
    <w:rsid w:val="00534158"/>
    <w:rsid w:val="005543ED"/>
    <w:rsid w:val="00562838"/>
    <w:rsid w:val="005B4102"/>
    <w:rsid w:val="005B714A"/>
    <w:rsid w:val="005C3C01"/>
    <w:rsid w:val="005C4348"/>
    <w:rsid w:val="005F6FD3"/>
    <w:rsid w:val="00645072"/>
    <w:rsid w:val="00646179"/>
    <w:rsid w:val="006522A8"/>
    <w:rsid w:val="00662AD2"/>
    <w:rsid w:val="006832B8"/>
    <w:rsid w:val="006921FF"/>
    <w:rsid w:val="006F1CFC"/>
    <w:rsid w:val="00706781"/>
    <w:rsid w:val="00706A65"/>
    <w:rsid w:val="00716C6F"/>
    <w:rsid w:val="0072046A"/>
    <w:rsid w:val="00726A67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327A6"/>
    <w:rsid w:val="00852F50"/>
    <w:rsid w:val="008551D6"/>
    <w:rsid w:val="008565CC"/>
    <w:rsid w:val="00874EED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40784"/>
    <w:rsid w:val="009617E1"/>
    <w:rsid w:val="009633B0"/>
    <w:rsid w:val="00975B69"/>
    <w:rsid w:val="00980DB9"/>
    <w:rsid w:val="009A27B0"/>
    <w:rsid w:val="009B511E"/>
    <w:rsid w:val="009C02DC"/>
    <w:rsid w:val="009D5C03"/>
    <w:rsid w:val="009E4049"/>
    <w:rsid w:val="00A05379"/>
    <w:rsid w:val="00A6792D"/>
    <w:rsid w:val="00A759BB"/>
    <w:rsid w:val="00A94D19"/>
    <w:rsid w:val="00A9754D"/>
    <w:rsid w:val="00AC0782"/>
    <w:rsid w:val="00AC45EC"/>
    <w:rsid w:val="00AF080E"/>
    <w:rsid w:val="00AF659C"/>
    <w:rsid w:val="00AF746B"/>
    <w:rsid w:val="00B11CDB"/>
    <w:rsid w:val="00B25156"/>
    <w:rsid w:val="00B31DB7"/>
    <w:rsid w:val="00B52075"/>
    <w:rsid w:val="00B5423E"/>
    <w:rsid w:val="00B651C7"/>
    <w:rsid w:val="00B755B9"/>
    <w:rsid w:val="00B86BE2"/>
    <w:rsid w:val="00B96ECB"/>
    <w:rsid w:val="00BC4109"/>
    <w:rsid w:val="00C07DBF"/>
    <w:rsid w:val="00C14CD2"/>
    <w:rsid w:val="00C15A8D"/>
    <w:rsid w:val="00C24391"/>
    <w:rsid w:val="00C3146C"/>
    <w:rsid w:val="00C70AF0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F38D3"/>
    <w:rsid w:val="00E45F43"/>
    <w:rsid w:val="00E62FD0"/>
    <w:rsid w:val="00E9781F"/>
    <w:rsid w:val="00EA69EB"/>
    <w:rsid w:val="00EB164B"/>
    <w:rsid w:val="00EC5429"/>
    <w:rsid w:val="00EE7E16"/>
    <w:rsid w:val="00EF66DC"/>
    <w:rsid w:val="00F1235F"/>
    <w:rsid w:val="00F52971"/>
    <w:rsid w:val="00F63F9C"/>
    <w:rsid w:val="00FA2625"/>
    <w:rsid w:val="00FA3E81"/>
    <w:rsid w:val="00FA6E98"/>
    <w:rsid w:val="00FC31AC"/>
    <w:rsid w:val="00FE2A3A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4924BE21A64A7EB5D1A6996B6E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72BA1-9159-494D-AA8C-F17310D225A1}"/>
      </w:docPartPr>
      <w:docPartBody>
        <w:p w:rsidR="00C804D3" w:rsidRDefault="006408B0" w:rsidP="006408B0">
          <w:pPr>
            <w:pStyle w:val="774924BE21A64A7EB5D1A6996B6E3B2B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3D43901D781F4ED1A289B2B69447C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6377-D663-46C0-83FB-53B9F86496DD}"/>
      </w:docPartPr>
      <w:docPartBody>
        <w:p w:rsidR="00C804D3" w:rsidRDefault="006408B0" w:rsidP="006408B0">
          <w:pPr>
            <w:pStyle w:val="3D43901D781F4ED1A289B2B69447C0E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B0"/>
    <w:rsid w:val="00440136"/>
    <w:rsid w:val="0046024C"/>
    <w:rsid w:val="006408B0"/>
    <w:rsid w:val="007971EC"/>
    <w:rsid w:val="007C270A"/>
    <w:rsid w:val="00991B37"/>
    <w:rsid w:val="00A74D39"/>
    <w:rsid w:val="00BB663C"/>
    <w:rsid w:val="00C07AE8"/>
    <w:rsid w:val="00C804D3"/>
    <w:rsid w:val="00CF4AA2"/>
    <w:rsid w:val="00D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8B0"/>
    <w:rPr>
      <w:color w:val="808080"/>
    </w:rPr>
  </w:style>
  <w:style w:type="paragraph" w:customStyle="1" w:styleId="774924BE21A64A7EB5D1A6996B6E3B2B">
    <w:name w:val="774924BE21A64A7EB5D1A6996B6E3B2B"/>
    <w:rsid w:val="006408B0"/>
  </w:style>
  <w:style w:type="paragraph" w:customStyle="1" w:styleId="3D43901D781F4ED1A289B2B69447C0E2">
    <w:name w:val="3D43901D781F4ED1A289B2B69447C0E2"/>
    <w:rsid w:val="006408B0"/>
  </w:style>
  <w:style w:type="paragraph" w:customStyle="1" w:styleId="FDA1E7CD6B08462EBE50F1079FE5840C">
    <w:name w:val="FDA1E7CD6B08462EBE50F1079FE5840C"/>
    <w:rsid w:val="006408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8B0"/>
    <w:rPr>
      <w:color w:val="808080"/>
    </w:rPr>
  </w:style>
  <w:style w:type="paragraph" w:customStyle="1" w:styleId="774924BE21A64A7EB5D1A6996B6E3B2B">
    <w:name w:val="774924BE21A64A7EB5D1A6996B6E3B2B"/>
    <w:rsid w:val="006408B0"/>
  </w:style>
  <w:style w:type="paragraph" w:customStyle="1" w:styleId="3D43901D781F4ED1A289B2B69447C0E2">
    <w:name w:val="3D43901D781F4ED1A289B2B69447C0E2"/>
    <w:rsid w:val="006408B0"/>
  </w:style>
  <w:style w:type="paragraph" w:customStyle="1" w:styleId="FDA1E7CD6B08462EBE50F1079FE5840C">
    <w:name w:val="FDA1E7CD6B08462EBE50F1079FE5840C"/>
    <w:rsid w:val="00640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Одлука о додели уговора </vt:lpstr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Одлука о додели уговора </dc:title>
  <dc:creator>Veljko Kovacevic</dc:creator>
  <cp:lastModifiedBy>Srdjan Jankovic</cp:lastModifiedBy>
  <cp:revision>59</cp:revision>
  <cp:lastPrinted>2016-03-11T08:17:00Z</cp:lastPrinted>
  <dcterms:created xsi:type="dcterms:W3CDTF">2015-09-23T14:28:00Z</dcterms:created>
  <dcterms:modified xsi:type="dcterms:W3CDTF">2016-03-15T09:02:00Z</dcterms:modified>
</cp:coreProperties>
</file>