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3793D" w:rsidRDefault="0093793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>105.E.03.01.147582/6-2016</w:t>
      </w:r>
    </w:p>
    <w:p w:rsidR="0046231D" w:rsidRPr="0093793D" w:rsidRDefault="0093793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17.05.2016.</w:t>
      </w:r>
      <w:r>
        <w:rPr>
          <w:rFonts w:ascii="Arial" w:hAnsi="Arial"/>
          <w:lang w:val="sr-Cyrl-RS"/>
        </w:rPr>
        <w:t>год.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146FE7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E12B59" w:rsidRDefault="00823373" w:rsidP="00E12B59">
      <w:pPr>
        <w:ind w:left="-360" w:right="-19"/>
        <w:jc w:val="left"/>
        <w:outlineLvl w:val="0"/>
        <w:rPr>
          <w:rFonts w:ascii="Arial" w:hAnsi="Arial"/>
          <w:b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12B59" w:rsidRPr="00E12B59">
        <w:rPr>
          <w:rFonts w:ascii="Arial" w:hAnsi="Arial"/>
          <w:b/>
          <w:lang w:val="sr-Latn-RS"/>
        </w:rPr>
        <w:t>3000/1538/2015 (101981/2015)</w:t>
      </w:r>
      <w:r w:rsidR="00E12B59">
        <w:rPr>
          <w:rFonts w:ascii="Arial" w:hAnsi="Arial"/>
          <w:b/>
          <w:lang w:val="sr-Cyrl-RS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02986" w:rsidRPr="00D220F1">
        <w:rPr>
          <w:rFonts w:ascii="Arial" w:hAnsi="Arial"/>
          <w:i/>
          <w:lang w:val="ru-RU"/>
        </w:rPr>
        <w:t xml:space="preserve">добара: </w:t>
      </w:r>
      <w:r w:rsidR="00E12B59" w:rsidRPr="00E12B59">
        <w:rPr>
          <w:rFonts w:ascii="Arial" w:hAnsi="Arial"/>
          <w:lang w:val="ru-RU"/>
        </w:rPr>
        <w:t>Детектор исклизнућа вагона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pStyle w:val="BodyText"/>
        <w:rPr>
          <w:rFonts w:ascii="Arial" w:hAnsi="Arial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E55CA0" w:rsidRDefault="00823373" w:rsidP="00615013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146FE7">
        <w:rPr>
          <w:rFonts w:ascii="Arial" w:hAnsi="Arial"/>
          <w:b/>
          <w:lang w:val="sr-Cyrl-RS"/>
        </w:rPr>
        <w:t>3</w:t>
      </w:r>
      <w:r w:rsidR="00E55CA0">
        <w:rPr>
          <w:rFonts w:ascii="Arial" w:hAnsi="Arial"/>
          <w:b/>
          <w:lang w:val="sr-Cyrl-RS"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04087" w:rsidRPr="00804087" w:rsidRDefault="00823373" w:rsidP="00804087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D0F70" w:rsidRPr="002D0F70" w:rsidRDefault="002D0F70" w:rsidP="002D0F70">
      <w:pPr>
        <w:spacing w:line="240" w:lineRule="auto"/>
        <w:rPr>
          <w:rFonts w:ascii="Arial" w:hAnsi="Arial"/>
          <w:sz w:val="24"/>
          <w:szCs w:val="24"/>
          <w:lang w:val="en-US"/>
        </w:rPr>
      </w:pPr>
      <w:r w:rsidRPr="002D0F70">
        <w:rPr>
          <w:rFonts w:ascii="Arial" w:hAnsi="Arial"/>
          <w:b/>
          <w:sz w:val="24"/>
          <w:szCs w:val="24"/>
          <w:lang w:val="en-US"/>
        </w:rPr>
        <w:t xml:space="preserve">ПРЕДМЕТ: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Додатне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информације</w:t>
      </w:r>
      <w:proofErr w:type="gramStart"/>
      <w:r w:rsidRPr="002D0F70">
        <w:rPr>
          <w:rFonts w:ascii="Arial" w:hAnsi="Arial"/>
          <w:sz w:val="24"/>
          <w:szCs w:val="24"/>
          <w:lang w:val="en-US"/>
        </w:rPr>
        <w:t>,појашњења</w:t>
      </w:r>
      <w:proofErr w:type="spellEnd"/>
      <w:proofErr w:type="gramEnd"/>
      <w:r w:rsidRPr="002D0F70">
        <w:rPr>
          <w:rFonts w:ascii="Arial" w:hAnsi="Arial"/>
          <w:sz w:val="24"/>
          <w:szCs w:val="24"/>
          <w:lang w:val="en-US"/>
        </w:rPr>
        <w:t xml:space="preserve"> и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предлози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за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измену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конкурсне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документације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за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јавну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набавку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бр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. </w:t>
      </w:r>
      <w:proofErr w:type="gramStart"/>
      <w:r w:rsidRPr="002D0F70">
        <w:rPr>
          <w:rFonts w:ascii="Arial" w:hAnsi="Arial"/>
          <w:sz w:val="24"/>
          <w:szCs w:val="24"/>
          <w:lang w:val="en-US"/>
        </w:rPr>
        <w:t xml:space="preserve">ЈН 3000/1538/2015 –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Детектори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исклизнућа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вагона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>.</w:t>
      </w:r>
      <w:proofErr w:type="gramEnd"/>
    </w:p>
    <w:p w:rsidR="002D0F70" w:rsidRPr="002D0F70" w:rsidRDefault="002D0F70" w:rsidP="002D0F70">
      <w:pPr>
        <w:spacing w:line="240" w:lineRule="auto"/>
        <w:rPr>
          <w:rFonts w:ascii="Arial" w:hAnsi="Arial"/>
          <w:sz w:val="24"/>
          <w:szCs w:val="24"/>
          <w:lang w:val="en-US"/>
        </w:rPr>
      </w:pPr>
      <w:proofErr w:type="spellStart"/>
      <w:r w:rsidRPr="002D0F70">
        <w:rPr>
          <w:rFonts w:ascii="Arial" w:hAnsi="Arial"/>
          <w:sz w:val="24"/>
          <w:szCs w:val="24"/>
          <w:lang w:val="en-US"/>
        </w:rPr>
        <w:t>На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основу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члана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63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став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2 ЗЈН,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потенцијални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понуђач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, у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законском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року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од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наручиоца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тражи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додатна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појашњења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указује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уочене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неправилности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у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конкурсној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документацији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и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предлаже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измену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исте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у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Одељку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4 –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Услови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за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учешће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у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поступку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јавне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набавке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Pr="002D0F70">
        <w:rPr>
          <w:rFonts w:ascii="Arial" w:hAnsi="Arial"/>
          <w:b/>
          <w:sz w:val="24"/>
          <w:szCs w:val="24"/>
          <w:lang w:val="en-US"/>
        </w:rPr>
        <w:t>додатни</w:t>
      </w:r>
      <w:proofErr w:type="spellEnd"/>
      <w:r w:rsidRPr="002D0F7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b/>
          <w:sz w:val="24"/>
          <w:szCs w:val="24"/>
          <w:lang w:val="en-US"/>
        </w:rPr>
        <w:t>услови</w:t>
      </w:r>
      <w:proofErr w:type="spellEnd"/>
      <w:r w:rsidRPr="002D0F70">
        <w:rPr>
          <w:rFonts w:ascii="Arial" w:hAnsi="Arial"/>
          <w:b/>
          <w:sz w:val="24"/>
          <w:szCs w:val="24"/>
          <w:lang w:val="en-US"/>
        </w:rPr>
        <w:t xml:space="preserve"> 4.2,</w:t>
      </w:r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тачка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5,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под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1) –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Финансијски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капацитет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>.</w:t>
      </w:r>
    </w:p>
    <w:p w:rsidR="002D0F70" w:rsidRPr="002D0F70" w:rsidRDefault="002D0F70" w:rsidP="002D0F70">
      <w:pPr>
        <w:spacing w:line="240" w:lineRule="auto"/>
        <w:rPr>
          <w:rFonts w:ascii="Arial" w:hAnsi="Arial"/>
          <w:b/>
          <w:sz w:val="24"/>
          <w:szCs w:val="24"/>
          <w:lang w:val="en-US"/>
        </w:rPr>
      </w:pPr>
    </w:p>
    <w:p w:rsidR="002D0F70" w:rsidRPr="002D0F70" w:rsidRDefault="002D0F70" w:rsidP="002D0F70">
      <w:pPr>
        <w:spacing w:line="240" w:lineRule="auto"/>
        <w:rPr>
          <w:rFonts w:ascii="Arial" w:hAnsi="Arial"/>
          <w:b/>
          <w:sz w:val="24"/>
          <w:szCs w:val="24"/>
          <w:lang w:val="en-US"/>
        </w:rPr>
      </w:pPr>
      <w:proofErr w:type="spellStart"/>
      <w:r>
        <w:rPr>
          <w:rFonts w:ascii="Arial" w:hAnsi="Arial"/>
          <w:b/>
          <w:sz w:val="24"/>
          <w:szCs w:val="24"/>
          <w:lang w:val="en-US"/>
        </w:rPr>
        <w:t>Питање</w:t>
      </w:r>
      <w:proofErr w:type="spellEnd"/>
      <w:r>
        <w:rPr>
          <w:rFonts w:ascii="Arial" w:hAnsi="Arial"/>
          <w:b/>
          <w:sz w:val="24"/>
          <w:szCs w:val="24"/>
          <w:lang w:val="en-US"/>
        </w:rPr>
        <w:t>:</w:t>
      </w:r>
    </w:p>
    <w:p w:rsidR="002D0F70" w:rsidRPr="002D0F70" w:rsidRDefault="002D0F70" w:rsidP="002D0F70">
      <w:pPr>
        <w:spacing w:line="240" w:lineRule="auto"/>
        <w:rPr>
          <w:rFonts w:ascii="Arial" w:hAnsi="Arial"/>
          <w:sz w:val="24"/>
          <w:szCs w:val="24"/>
          <w:lang w:val="en-US"/>
        </w:rPr>
      </w:pPr>
      <w:r w:rsidRPr="002D0F70">
        <w:rPr>
          <w:rFonts w:ascii="Arial" w:eastAsia="Calibri" w:hAnsi="Arial"/>
          <w:noProof/>
          <w:sz w:val="24"/>
          <w:szCs w:val="24"/>
        </w:rPr>
        <w:t xml:space="preserve">У конкурсној документацији наручиоца, Одељак </w:t>
      </w:r>
      <w:r w:rsidRPr="002D0F70">
        <w:rPr>
          <w:rFonts w:ascii="Arial" w:eastAsia="Calibri" w:hAnsi="Arial"/>
          <w:noProof/>
          <w:sz w:val="24"/>
          <w:szCs w:val="24"/>
          <w:lang w:val="en-US"/>
        </w:rPr>
        <w:t>4</w:t>
      </w:r>
      <w:r w:rsidRPr="002D0F70">
        <w:rPr>
          <w:rFonts w:ascii="Arial" w:hAnsi="Arial"/>
          <w:sz w:val="24"/>
          <w:szCs w:val="24"/>
          <w:lang w:val="en-US"/>
        </w:rPr>
        <w:t xml:space="preserve">–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Услови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за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учешће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у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поступку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јавне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набавке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Pr="002D0F70">
        <w:rPr>
          <w:rFonts w:ascii="Arial" w:hAnsi="Arial"/>
          <w:b/>
          <w:sz w:val="24"/>
          <w:szCs w:val="24"/>
          <w:lang w:val="en-US"/>
        </w:rPr>
        <w:t>додатни</w:t>
      </w:r>
      <w:proofErr w:type="spellEnd"/>
      <w:r w:rsidRPr="002D0F7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b/>
          <w:sz w:val="24"/>
          <w:szCs w:val="24"/>
          <w:lang w:val="en-US"/>
        </w:rPr>
        <w:t>услови</w:t>
      </w:r>
      <w:proofErr w:type="spellEnd"/>
      <w:r w:rsidRPr="002D0F70">
        <w:rPr>
          <w:rFonts w:ascii="Arial" w:hAnsi="Arial"/>
          <w:b/>
          <w:sz w:val="24"/>
          <w:szCs w:val="24"/>
          <w:lang w:val="en-US"/>
        </w:rPr>
        <w:t xml:space="preserve"> 4.2</w:t>
      </w:r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тачка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5),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под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1),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као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доказ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испуњавања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финансијског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капацитета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наручилац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захтева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–БОН-ЈН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који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издаје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Агенција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за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привредне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регистре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који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мора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садржи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сажете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статусне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податке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понуђача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сажети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биланс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стања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и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биланс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успеха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за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наведнеи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период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>.</w:t>
      </w:r>
    </w:p>
    <w:p w:rsidR="002D0F70" w:rsidRPr="002D0F70" w:rsidRDefault="002D0F70" w:rsidP="002D0F70">
      <w:pPr>
        <w:spacing w:line="240" w:lineRule="auto"/>
        <w:rPr>
          <w:rFonts w:ascii="Arial" w:hAnsi="Arial"/>
          <w:sz w:val="24"/>
          <w:szCs w:val="24"/>
          <w:lang w:val="en-US"/>
        </w:rPr>
      </w:pPr>
      <w:proofErr w:type="spellStart"/>
      <w:proofErr w:type="gramStart"/>
      <w:r w:rsidRPr="002D0F70">
        <w:rPr>
          <w:rFonts w:ascii="Arial" w:hAnsi="Arial"/>
          <w:sz w:val="24"/>
          <w:szCs w:val="24"/>
          <w:lang w:val="en-US"/>
        </w:rPr>
        <w:t>Овај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потенцијални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понуђач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је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питање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ли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уместо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траженог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БОН-ЈН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може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доставити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изворни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финансијски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извештај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који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у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себи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садржи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сажети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биланс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стања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и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биланс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успеха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за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наведени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период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добио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одговор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наручиоца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остаје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при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захтевима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из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конкурсне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документације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који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је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непрецизан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и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без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објашњења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што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је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била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обавеза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наручиоца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>.</w:t>
      </w:r>
      <w:proofErr w:type="gram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</w:p>
    <w:p w:rsidR="002D0F70" w:rsidRPr="002D0F70" w:rsidRDefault="002D0F70" w:rsidP="002D0F70">
      <w:pPr>
        <w:spacing w:line="240" w:lineRule="auto"/>
        <w:rPr>
          <w:rFonts w:ascii="Arial" w:hAnsi="Arial"/>
          <w:sz w:val="24"/>
          <w:szCs w:val="24"/>
          <w:lang w:val="en-US"/>
        </w:rPr>
      </w:pPr>
    </w:p>
    <w:p w:rsidR="002D0F70" w:rsidRPr="002D0F70" w:rsidRDefault="002D0F70" w:rsidP="002D0F70">
      <w:pPr>
        <w:spacing w:line="240" w:lineRule="auto"/>
        <w:rPr>
          <w:rFonts w:ascii="Arial" w:hAnsi="Arial"/>
          <w:sz w:val="24"/>
          <w:szCs w:val="24"/>
          <w:lang w:val="en-US"/>
        </w:rPr>
      </w:pPr>
      <w:proofErr w:type="spellStart"/>
      <w:proofErr w:type="gramStart"/>
      <w:r w:rsidRPr="002D0F70">
        <w:rPr>
          <w:rFonts w:ascii="Arial" w:hAnsi="Arial"/>
          <w:sz w:val="24"/>
          <w:szCs w:val="24"/>
          <w:lang w:val="en-US"/>
        </w:rPr>
        <w:t>Потенцијални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понуђач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је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регистрован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у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Регистру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понуђача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АПР и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као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такав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има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право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учешћа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јавним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позивима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>.</w:t>
      </w:r>
      <w:proofErr w:type="gram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2D0F70">
        <w:rPr>
          <w:rFonts w:ascii="Arial" w:hAnsi="Arial"/>
          <w:sz w:val="24"/>
          <w:szCs w:val="24"/>
          <w:lang w:val="en-US"/>
        </w:rPr>
        <w:t>Из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имена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потенцијалног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понуђача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може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видети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ради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о </w:t>
      </w:r>
      <w:proofErr w:type="spellStart"/>
      <w:r w:rsidRPr="002D0F70">
        <w:rPr>
          <w:rFonts w:ascii="Arial" w:hAnsi="Arial"/>
          <w:i/>
          <w:sz w:val="24"/>
          <w:szCs w:val="24"/>
          <w:lang w:val="en-US"/>
        </w:rPr>
        <w:t>пословном</w:t>
      </w:r>
      <w:proofErr w:type="spellEnd"/>
      <w:r w:rsidRPr="002D0F70">
        <w:rPr>
          <w:rFonts w:ascii="Arial" w:hAnsi="Arial"/>
          <w:i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i/>
          <w:sz w:val="24"/>
          <w:szCs w:val="24"/>
          <w:lang w:val="en-US"/>
        </w:rPr>
        <w:t>удружењу</w:t>
      </w:r>
      <w:proofErr w:type="spellEnd"/>
      <w:r w:rsidRPr="002D0F70">
        <w:rPr>
          <w:rFonts w:ascii="Arial" w:hAnsi="Arial"/>
          <w:i/>
          <w:sz w:val="24"/>
          <w:szCs w:val="24"/>
          <w:lang w:val="en-US"/>
        </w:rPr>
        <w:t>.</w:t>
      </w:r>
      <w:proofErr w:type="gram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2D0F70">
        <w:rPr>
          <w:rFonts w:ascii="Arial" w:hAnsi="Arial"/>
          <w:sz w:val="24"/>
          <w:szCs w:val="24"/>
          <w:lang w:val="en-US"/>
        </w:rPr>
        <w:t>Према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члану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45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Правилника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о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условима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и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начину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објављивања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финансијских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извештаја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и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вођењу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регистра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финансијских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извештаја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Агенција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за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привредне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регистре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пословним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удружењима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правних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лица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води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податке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у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бази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података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о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бонитету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Pr="002D0F70">
        <w:rPr>
          <w:rFonts w:ascii="Arial" w:hAnsi="Arial"/>
          <w:b/>
          <w:sz w:val="24"/>
          <w:szCs w:val="24"/>
          <w:lang w:val="en-US"/>
        </w:rPr>
        <w:t>те</w:t>
      </w:r>
      <w:proofErr w:type="spellEnd"/>
      <w:r w:rsidRPr="002D0F7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b/>
          <w:sz w:val="24"/>
          <w:szCs w:val="24"/>
          <w:lang w:val="en-US"/>
        </w:rPr>
        <w:t>се</w:t>
      </w:r>
      <w:proofErr w:type="spellEnd"/>
      <w:r w:rsidRPr="002D0F7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b/>
          <w:sz w:val="24"/>
          <w:szCs w:val="24"/>
          <w:lang w:val="en-US"/>
        </w:rPr>
        <w:t>ни</w:t>
      </w:r>
      <w:proofErr w:type="spellEnd"/>
      <w:r w:rsidRPr="002D0F7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b/>
          <w:sz w:val="24"/>
          <w:szCs w:val="24"/>
          <w:lang w:val="en-US"/>
        </w:rPr>
        <w:t>услуге</w:t>
      </w:r>
      <w:proofErr w:type="spellEnd"/>
      <w:r w:rsidRPr="002D0F7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b/>
          <w:sz w:val="24"/>
          <w:szCs w:val="24"/>
          <w:lang w:val="en-US"/>
        </w:rPr>
        <w:t>бонитета</w:t>
      </w:r>
      <w:proofErr w:type="spellEnd"/>
      <w:r w:rsidRPr="002D0F7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b/>
          <w:sz w:val="24"/>
          <w:szCs w:val="24"/>
          <w:lang w:val="en-US"/>
        </w:rPr>
        <w:t>не</w:t>
      </w:r>
      <w:proofErr w:type="spellEnd"/>
      <w:r w:rsidRPr="002D0F7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b/>
          <w:sz w:val="24"/>
          <w:szCs w:val="24"/>
          <w:lang w:val="en-US"/>
        </w:rPr>
        <w:t>могу</w:t>
      </w:r>
      <w:proofErr w:type="spellEnd"/>
      <w:r w:rsidRPr="002D0F7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b/>
          <w:sz w:val="24"/>
          <w:szCs w:val="24"/>
          <w:lang w:val="en-US"/>
        </w:rPr>
        <w:t>пружити</w:t>
      </w:r>
      <w:proofErr w:type="spellEnd"/>
      <w:r w:rsidRPr="002D0F7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b/>
          <w:sz w:val="24"/>
          <w:szCs w:val="24"/>
          <w:lang w:val="en-US"/>
        </w:rPr>
        <w:t>тим</w:t>
      </w:r>
      <w:proofErr w:type="spellEnd"/>
      <w:r w:rsidRPr="002D0F7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b/>
          <w:sz w:val="24"/>
          <w:szCs w:val="24"/>
          <w:lang w:val="en-US"/>
        </w:rPr>
        <w:t>удружењима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>.</w:t>
      </w:r>
      <w:proofErr w:type="gram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2D0F70">
        <w:rPr>
          <w:rFonts w:ascii="Arial" w:hAnsi="Arial"/>
          <w:sz w:val="24"/>
          <w:szCs w:val="24"/>
          <w:lang w:val="en-US"/>
        </w:rPr>
        <w:t>Потенцијални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понуђач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је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добио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своје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име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и у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сврху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учешћа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овом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позиву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Потврду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АПР,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регистра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финансијских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извештаја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бр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>.</w:t>
      </w:r>
      <w:proofErr w:type="gram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gramStart"/>
      <w:r w:rsidRPr="002D0F70">
        <w:rPr>
          <w:rFonts w:ascii="Arial" w:hAnsi="Arial"/>
          <w:sz w:val="24"/>
          <w:szCs w:val="24"/>
          <w:lang w:val="en-US"/>
        </w:rPr>
        <w:t xml:space="preserve">БОН 2814/01/2016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од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10.05.2016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године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описаним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садржајем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>.</w:t>
      </w:r>
      <w:proofErr w:type="gramEnd"/>
    </w:p>
    <w:p w:rsidR="002D0F70" w:rsidRPr="002D0F70" w:rsidRDefault="002D0F70" w:rsidP="002D0F70">
      <w:pPr>
        <w:spacing w:line="240" w:lineRule="auto"/>
        <w:rPr>
          <w:rFonts w:ascii="Arial" w:hAnsi="Arial"/>
          <w:sz w:val="24"/>
          <w:szCs w:val="24"/>
          <w:lang w:val="en-US"/>
        </w:rPr>
      </w:pPr>
      <w:proofErr w:type="spellStart"/>
      <w:r w:rsidRPr="002D0F70">
        <w:rPr>
          <w:rFonts w:ascii="Arial" w:hAnsi="Arial"/>
          <w:sz w:val="24"/>
          <w:szCs w:val="24"/>
          <w:lang w:val="en-US"/>
        </w:rPr>
        <w:t>Имајући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у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виду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наведено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још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једном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постављамо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наручиоцу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питање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ли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ће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понуда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потенцијалног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понуђача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који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је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пословно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удружење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бити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неприхватљива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ако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уместо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lastRenderedPageBreak/>
        <w:t>траженог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БОН-ЈН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који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мора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садржи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сажете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статусне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податке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понуђача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сажети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биланс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стања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и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биланс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успеха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за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наведнеи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период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достави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изворни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финансијски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извештај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АПР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који</w:t>
      </w:r>
      <w:proofErr w:type="spellEnd"/>
      <w:r w:rsidR="00C06B98">
        <w:rPr>
          <w:rFonts w:ascii="Arial" w:hAnsi="Arial"/>
          <w:sz w:val="24"/>
          <w:szCs w:val="24"/>
          <w:lang w:val="sr-Cyrl-R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садржи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сажете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статусне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податке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понуђача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сажети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биланс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стања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и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биланс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успеха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за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наведнеи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период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2D0F70">
        <w:rPr>
          <w:rFonts w:ascii="Arial" w:hAnsi="Arial"/>
          <w:sz w:val="24"/>
          <w:szCs w:val="24"/>
          <w:lang w:val="en-US"/>
        </w:rPr>
        <w:t>Сматрамо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је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понуђени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доказ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свеобухватнији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од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траженог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и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у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себи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садржи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све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оно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што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наручилац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тражи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и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за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БОН-ЈН.</w:t>
      </w:r>
      <w:proofErr w:type="gram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</w:p>
    <w:p w:rsidR="00823373" w:rsidRPr="00E12B59" w:rsidRDefault="00823373" w:rsidP="00E12B59">
      <w:pPr>
        <w:spacing w:line="240" w:lineRule="auto"/>
        <w:jc w:val="left"/>
        <w:rPr>
          <w:rFonts w:ascii="Times New Roman" w:hAnsi="Times New Roman" w:cstheme="minorBidi"/>
          <w:noProof/>
          <w:sz w:val="28"/>
          <w:szCs w:val="28"/>
          <w:lang w:val="sr-Cyrl-RS" w:eastAsia="sr-Latn-CS"/>
        </w:rPr>
      </w:pPr>
    </w:p>
    <w:p w:rsidR="00823373" w:rsidRDefault="00823373" w:rsidP="00615013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2D4019" w:rsidRPr="002D4019" w:rsidRDefault="00C06B98" w:rsidP="00903F91">
      <w:pPr>
        <w:rPr>
          <w:rFonts w:ascii="Arial" w:hAnsi="Arial"/>
          <w:lang w:val="sr-Cyrl-RS"/>
        </w:rPr>
      </w:pPr>
      <w:r w:rsidRPr="00C06B98">
        <w:rPr>
          <w:rFonts w:ascii="Arial" w:hAnsi="Arial"/>
          <w:iCs/>
          <w:lang w:val="sr-Cyrl-RS"/>
        </w:rPr>
        <w:t>Наручилац је сагласан да за понуђаче, који у складу са прописима не могу да добију БОН ЈН (нпр. Пословна удружења),</w:t>
      </w:r>
      <w:r>
        <w:rPr>
          <w:rFonts w:ascii="Arial" w:hAnsi="Arial"/>
          <w:b/>
          <w:iCs/>
          <w:lang w:val="sr-Cyrl-RS"/>
        </w:rPr>
        <w:t xml:space="preserve"> </w:t>
      </w:r>
      <w:proofErr w:type="spellStart"/>
      <w:r w:rsidR="00B57D73">
        <w:rPr>
          <w:rFonts w:ascii="Arial" w:hAnsi="Arial"/>
          <w:lang w:val="en-US"/>
        </w:rPr>
        <w:t>достави</w:t>
      </w:r>
      <w:proofErr w:type="spellEnd"/>
      <w:r w:rsidR="002D4019">
        <w:rPr>
          <w:rFonts w:ascii="Arial" w:hAnsi="Arial"/>
          <w:lang w:val="en-US"/>
        </w:rPr>
        <w:t xml:space="preserve"> </w:t>
      </w:r>
      <w:proofErr w:type="spellStart"/>
      <w:r w:rsidR="002D4019">
        <w:rPr>
          <w:rFonts w:ascii="Arial" w:hAnsi="Arial"/>
          <w:lang w:val="en-US"/>
        </w:rPr>
        <w:t>финансијски</w:t>
      </w:r>
      <w:proofErr w:type="spellEnd"/>
      <w:r w:rsidR="002D4019">
        <w:rPr>
          <w:rFonts w:ascii="Arial" w:hAnsi="Arial"/>
          <w:lang w:val="en-US"/>
        </w:rPr>
        <w:t xml:space="preserve"> </w:t>
      </w:r>
      <w:proofErr w:type="spellStart"/>
      <w:r w:rsidR="002D4019">
        <w:rPr>
          <w:rFonts w:ascii="Arial" w:hAnsi="Arial"/>
          <w:lang w:val="en-US"/>
        </w:rPr>
        <w:t>извештај</w:t>
      </w:r>
      <w:proofErr w:type="spellEnd"/>
      <w:r w:rsidRPr="002D4019">
        <w:rPr>
          <w:rFonts w:ascii="Arial" w:hAnsi="Arial"/>
          <w:lang w:val="en-US"/>
        </w:rPr>
        <w:t xml:space="preserve"> </w:t>
      </w:r>
      <w:proofErr w:type="spellStart"/>
      <w:r w:rsidRPr="002D4019">
        <w:rPr>
          <w:rFonts w:ascii="Arial" w:hAnsi="Arial"/>
          <w:lang w:val="en-US"/>
        </w:rPr>
        <w:t>који</w:t>
      </w:r>
      <w:proofErr w:type="spellEnd"/>
      <w:r w:rsidRPr="002D4019">
        <w:rPr>
          <w:rFonts w:ascii="Arial" w:hAnsi="Arial"/>
          <w:lang w:val="sr-Cyrl-RS"/>
        </w:rPr>
        <w:t xml:space="preserve"> </w:t>
      </w:r>
      <w:proofErr w:type="spellStart"/>
      <w:r w:rsidRPr="002D4019">
        <w:rPr>
          <w:rFonts w:ascii="Arial" w:hAnsi="Arial"/>
          <w:lang w:val="en-US"/>
        </w:rPr>
        <w:t>садржи</w:t>
      </w:r>
      <w:proofErr w:type="spellEnd"/>
      <w:r w:rsidRPr="002D4019">
        <w:rPr>
          <w:rFonts w:ascii="Arial" w:hAnsi="Arial"/>
          <w:lang w:val="en-US"/>
        </w:rPr>
        <w:t xml:space="preserve"> </w:t>
      </w:r>
      <w:proofErr w:type="spellStart"/>
      <w:r w:rsidRPr="002D4019">
        <w:rPr>
          <w:rFonts w:ascii="Arial" w:hAnsi="Arial"/>
          <w:lang w:val="en-US"/>
        </w:rPr>
        <w:t>сажете</w:t>
      </w:r>
      <w:proofErr w:type="spellEnd"/>
      <w:r w:rsidRPr="002D4019">
        <w:rPr>
          <w:rFonts w:ascii="Arial" w:hAnsi="Arial"/>
          <w:lang w:val="en-US"/>
        </w:rPr>
        <w:t xml:space="preserve"> </w:t>
      </w:r>
      <w:proofErr w:type="spellStart"/>
      <w:r w:rsidRPr="002D4019">
        <w:rPr>
          <w:rFonts w:ascii="Arial" w:hAnsi="Arial"/>
          <w:lang w:val="en-US"/>
        </w:rPr>
        <w:t>статусне</w:t>
      </w:r>
      <w:proofErr w:type="spellEnd"/>
      <w:r w:rsidRPr="002D4019">
        <w:rPr>
          <w:rFonts w:ascii="Arial" w:hAnsi="Arial"/>
          <w:lang w:val="en-US"/>
        </w:rPr>
        <w:t xml:space="preserve"> </w:t>
      </w:r>
      <w:proofErr w:type="spellStart"/>
      <w:r w:rsidRPr="002D4019">
        <w:rPr>
          <w:rFonts w:ascii="Arial" w:hAnsi="Arial"/>
          <w:lang w:val="en-US"/>
        </w:rPr>
        <w:t>податке</w:t>
      </w:r>
      <w:proofErr w:type="spellEnd"/>
      <w:r w:rsidRPr="002D4019">
        <w:rPr>
          <w:rFonts w:ascii="Arial" w:hAnsi="Arial"/>
          <w:lang w:val="en-US"/>
        </w:rPr>
        <w:t xml:space="preserve"> </w:t>
      </w:r>
      <w:proofErr w:type="spellStart"/>
      <w:r w:rsidRPr="002D4019">
        <w:rPr>
          <w:rFonts w:ascii="Arial" w:hAnsi="Arial"/>
          <w:lang w:val="en-US"/>
        </w:rPr>
        <w:t>понуђача</w:t>
      </w:r>
      <w:proofErr w:type="spellEnd"/>
      <w:r w:rsidRPr="002D4019">
        <w:rPr>
          <w:rFonts w:ascii="Arial" w:hAnsi="Arial"/>
          <w:lang w:val="en-US"/>
        </w:rPr>
        <w:t xml:space="preserve">, </w:t>
      </w:r>
      <w:proofErr w:type="spellStart"/>
      <w:r w:rsidRPr="002D4019">
        <w:rPr>
          <w:rFonts w:ascii="Arial" w:hAnsi="Arial"/>
          <w:lang w:val="en-US"/>
        </w:rPr>
        <w:t>сажети</w:t>
      </w:r>
      <w:proofErr w:type="spellEnd"/>
      <w:r w:rsidRPr="002D4019">
        <w:rPr>
          <w:rFonts w:ascii="Arial" w:hAnsi="Arial"/>
          <w:lang w:val="en-US"/>
        </w:rPr>
        <w:t xml:space="preserve"> </w:t>
      </w:r>
      <w:proofErr w:type="spellStart"/>
      <w:r w:rsidRPr="002D4019">
        <w:rPr>
          <w:rFonts w:ascii="Arial" w:hAnsi="Arial"/>
          <w:lang w:val="en-US"/>
        </w:rPr>
        <w:t>биланс</w:t>
      </w:r>
      <w:proofErr w:type="spellEnd"/>
      <w:r w:rsidRPr="002D4019">
        <w:rPr>
          <w:rFonts w:ascii="Arial" w:hAnsi="Arial"/>
          <w:lang w:val="en-US"/>
        </w:rPr>
        <w:t xml:space="preserve"> </w:t>
      </w:r>
      <w:proofErr w:type="spellStart"/>
      <w:r w:rsidRPr="002D4019">
        <w:rPr>
          <w:rFonts w:ascii="Arial" w:hAnsi="Arial"/>
          <w:lang w:val="en-US"/>
        </w:rPr>
        <w:t>стања</w:t>
      </w:r>
      <w:proofErr w:type="spellEnd"/>
      <w:r w:rsidRPr="002D4019">
        <w:rPr>
          <w:rFonts w:ascii="Arial" w:hAnsi="Arial"/>
          <w:lang w:val="en-US"/>
        </w:rPr>
        <w:t xml:space="preserve"> и </w:t>
      </w:r>
      <w:proofErr w:type="spellStart"/>
      <w:r w:rsidRPr="002D4019">
        <w:rPr>
          <w:rFonts w:ascii="Arial" w:hAnsi="Arial"/>
          <w:lang w:val="en-US"/>
        </w:rPr>
        <w:t>биланс</w:t>
      </w:r>
      <w:proofErr w:type="spellEnd"/>
      <w:r w:rsidRPr="002D4019">
        <w:rPr>
          <w:rFonts w:ascii="Arial" w:hAnsi="Arial"/>
          <w:lang w:val="en-US"/>
        </w:rPr>
        <w:t xml:space="preserve"> </w:t>
      </w:r>
      <w:proofErr w:type="spellStart"/>
      <w:r w:rsidRPr="002D4019">
        <w:rPr>
          <w:rFonts w:ascii="Arial" w:hAnsi="Arial"/>
          <w:lang w:val="en-US"/>
        </w:rPr>
        <w:t>у</w:t>
      </w:r>
      <w:r w:rsidR="002D4019">
        <w:rPr>
          <w:rFonts w:ascii="Arial" w:hAnsi="Arial"/>
          <w:lang w:val="en-US"/>
        </w:rPr>
        <w:t>спеха</w:t>
      </w:r>
      <w:proofErr w:type="spellEnd"/>
      <w:r w:rsidR="002D4019">
        <w:rPr>
          <w:rFonts w:ascii="Arial" w:hAnsi="Arial"/>
          <w:lang w:val="en-US"/>
        </w:rPr>
        <w:t xml:space="preserve"> </w:t>
      </w:r>
      <w:proofErr w:type="spellStart"/>
      <w:r w:rsidR="002D4019">
        <w:rPr>
          <w:rFonts w:ascii="Arial" w:hAnsi="Arial"/>
          <w:lang w:val="en-US"/>
        </w:rPr>
        <w:t>за</w:t>
      </w:r>
      <w:proofErr w:type="spellEnd"/>
      <w:r w:rsidR="002D4019">
        <w:rPr>
          <w:rFonts w:ascii="Arial" w:hAnsi="Arial"/>
          <w:lang w:val="en-US"/>
        </w:rPr>
        <w:t xml:space="preserve"> </w:t>
      </w:r>
      <w:proofErr w:type="spellStart"/>
      <w:r w:rsidR="002D4019">
        <w:rPr>
          <w:rFonts w:ascii="Arial" w:hAnsi="Arial"/>
          <w:lang w:val="en-US"/>
        </w:rPr>
        <w:t>наведн</w:t>
      </w:r>
      <w:r w:rsidRPr="002D4019">
        <w:rPr>
          <w:rFonts w:ascii="Arial" w:hAnsi="Arial"/>
          <w:lang w:val="en-US"/>
        </w:rPr>
        <w:t>и</w:t>
      </w:r>
      <w:proofErr w:type="spellEnd"/>
      <w:r w:rsidRPr="002D4019">
        <w:rPr>
          <w:rFonts w:ascii="Arial" w:hAnsi="Arial"/>
          <w:lang w:val="en-US"/>
        </w:rPr>
        <w:t xml:space="preserve"> </w:t>
      </w:r>
      <w:proofErr w:type="spellStart"/>
      <w:r w:rsidRPr="002D4019">
        <w:rPr>
          <w:rFonts w:ascii="Arial" w:hAnsi="Arial"/>
          <w:lang w:val="en-US"/>
        </w:rPr>
        <w:t>период</w:t>
      </w:r>
      <w:proofErr w:type="spellEnd"/>
      <w:r w:rsidR="009A50D7">
        <w:rPr>
          <w:rFonts w:ascii="Arial" w:hAnsi="Arial"/>
          <w:lang w:val="sr-Cyrl-RS"/>
        </w:rPr>
        <w:t>, као и потврду АПР-а којом доказују да не могу да прибаве услуге бонитета.</w:t>
      </w:r>
      <w:r w:rsidR="002D4019">
        <w:rPr>
          <w:rFonts w:ascii="Arial" w:hAnsi="Arial"/>
          <w:lang w:val="sr-Cyrl-RS"/>
        </w:rPr>
        <w:t xml:space="preserve"> </w:t>
      </w:r>
    </w:p>
    <w:p w:rsidR="00903F91" w:rsidRDefault="00903F91" w:rsidP="00903F91">
      <w:pPr>
        <w:rPr>
          <w:rFonts w:ascii="Arial" w:hAnsi="Arial"/>
          <w:b/>
          <w:iCs/>
          <w:lang w:val="sr-Latn-RS"/>
        </w:rPr>
      </w:pPr>
    </w:p>
    <w:p w:rsidR="00903F91" w:rsidRPr="00804087" w:rsidRDefault="00903F91" w:rsidP="00903F91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D0F70" w:rsidRPr="002D0F70" w:rsidRDefault="002D0F70" w:rsidP="002D0F70">
      <w:pPr>
        <w:spacing w:line="240" w:lineRule="auto"/>
        <w:rPr>
          <w:rFonts w:ascii="Arial" w:hAnsi="Arial"/>
          <w:sz w:val="24"/>
          <w:szCs w:val="24"/>
          <w:lang w:val="en-US"/>
        </w:rPr>
      </w:pPr>
      <w:r w:rsidRPr="002D0F70">
        <w:rPr>
          <w:rFonts w:ascii="Arial" w:hAnsi="Arial"/>
          <w:b/>
          <w:sz w:val="24"/>
          <w:szCs w:val="24"/>
          <w:lang w:val="en-US"/>
        </w:rPr>
        <w:t xml:space="preserve">ПРЕДМЕТ: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Додатне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информације</w:t>
      </w:r>
      <w:proofErr w:type="gramStart"/>
      <w:r w:rsidRPr="002D0F70">
        <w:rPr>
          <w:rFonts w:ascii="Arial" w:hAnsi="Arial"/>
          <w:sz w:val="24"/>
          <w:szCs w:val="24"/>
          <w:lang w:val="en-US"/>
        </w:rPr>
        <w:t>,појашњења</w:t>
      </w:r>
      <w:proofErr w:type="spellEnd"/>
      <w:proofErr w:type="gramEnd"/>
      <w:r w:rsidRPr="002D0F70">
        <w:rPr>
          <w:rFonts w:ascii="Arial" w:hAnsi="Arial"/>
          <w:sz w:val="24"/>
          <w:szCs w:val="24"/>
          <w:lang w:val="en-US"/>
        </w:rPr>
        <w:t xml:space="preserve"> и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предлози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за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измену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конкурсне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документације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за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јавну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набавку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бр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. </w:t>
      </w:r>
      <w:proofErr w:type="gramStart"/>
      <w:r w:rsidRPr="002D0F70">
        <w:rPr>
          <w:rFonts w:ascii="Arial" w:hAnsi="Arial"/>
          <w:sz w:val="24"/>
          <w:szCs w:val="24"/>
          <w:lang w:val="en-US"/>
        </w:rPr>
        <w:t xml:space="preserve">ЈН 3000/1538/2015 –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Детектори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исклизнућа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вагона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>.</w:t>
      </w:r>
      <w:proofErr w:type="gramEnd"/>
    </w:p>
    <w:p w:rsidR="002D0F70" w:rsidRPr="002D0F70" w:rsidRDefault="002D0F70" w:rsidP="002D0F70">
      <w:pPr>
        <w:spacing w:line="240" w:lineRule="auto"/>
        <w:rPr>
          <w:rFonts w:ascii="Arial" w:hAnsi="Arial"/>
          <w:sz w:val="24"/>
          <w:szCs w:val="24"/>
          <w:lang w:val="en-US"/>
        </w:rPr>
      </w:pPr>
      <w:proofErr w:type="spellStart"/>
      <w:r w:rsidRPr="002D0F70">
        <w:rPr>
          <w:rFonts w:ascii="Arial" w:hAnsi="Arial"/>
          <w:sz w:val="24"/>
          <w:szCs w:val="24"/>
          <w:lang w:val="en-US"/>
        </w:rPr>
        <w:t>На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основу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члана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63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став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2 ЗЈН,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потенцијални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понуђач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, у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законском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року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од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наручиоца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тражи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додатна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појашњења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указује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уочене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неправилности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у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конкурсној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документацији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у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Одељку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6.17 –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Средства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финансијског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обезбеђења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>.</w:t>
      </w:r>
    </w:p>
    <w:p w:rsidR="002D0F70" w:rsidRPr="002D4019" w:rsidRDefault="002D0F70" w:rsidP="002D0F70">
      <w:pPr>
        <w:spacing w:line="240" w:lineRule="auto"/>
        <w:rPr>
          <w:rFonts w:ascii="Arial" w:hAnsi="Arial"/>
          <w:b/>
          <w:sz w:val="24"/>
          <w:szCs w:val="24"/>
          <w:lang w:val="sr-Cyrl-RS"/>
        </w:rPr>
      </w:pPr>
    </w:p>
    <w:p w:rsidR="002D0F70" w:rsidRPr="002D0F70" w:rsidRDefault="002D0F70" w:rsidP="002D0F70">
      <w:pPr>
        <w:spacing w:line="240" w:lineRule="auto"/>
        <w:rPr>
          <w:rFonts w:ascii="Arial" w:hAnsi="Arial"/>
          <w:b/>
          <w:sz w:val="24"/>
          <w:szCs w:val="24"/>
          <w:lang w:val="en-US"/>
        </w:rPr>
      </w:pPr>
      <w:proofErr w:type="spellStart"/>
      <w:r>
        <w:rPr>
          <w:rFonts w:ascii="Arial" w:hAnsi="Arial"/>
          <w:b/>
          <w:sz w:val="24"/>
          <w:szCs w:val="24"/>
          <w:lang w:val="en-US"/>
        </w:rPr>
        <w:t>Питање</w:t>
      </w:r>
      <w:proofErr w:type="spellEnd"/>
      <w:r>
        <w:rPr>
          <w:rFonts w:ascii="Arial" w:hAnsi="Arial"/>
          <w:b/>
          <w:sz w:val="24"/>
          <w:szCs w:val="24"/>
          <w:lang w:val="en-US"/>
        </w:rPr>
        <w:t>:</w:t>
      </w:r>
    </w:p>
    <w:p w:rsidR="002D0F70" w:rsidRPr="002D0F70" w:rsidRDefault="002D0F70" w:rsidP="002D0F70">
      <w:pPr>
        <w:spacing w:line="240" w:lineRule="auto"/>
        <w:rPr>
          <w:rFonts w:ascii="Arial" w:hAnsi="Arial"/>
          <w:sz w:val="24"/>
          <w:szCs w:val="24"/>
          <w:lang w:val="en-US"/>
        </w:rPr>
      </w:pPr>
      <w:r w:rsidRPr="002D0F70">
        <w:rPr>
          <w:rFonts w:ascii="Arial" w:eastAsia="Calibri" w:hAnsi="Arial"/>
          <w:noProof/>
          <w:sz w:val="24"/>
          <w:szCs w:val="24"/>
        </w:rPr>
        <w:t xml:space="preserve">У конкурсној документацији наручиоца, Одељак </w:t>
      </w:r>
      <w:r w:rsidRPr="002D0F70">
        <w:rPr>
          <w:rFonts w:ascii="Arial" w:eastAsia="Calibri" w:hAnsi="Arial"/>
          <w:noProof/>
          <w:sz w:val="24"/>
          <w:szCs w:val="24"/>
          <w:lang w:val="en-US"/>
        </w:rPr>
        <w:t>6.17</w:t>
      </w:r>
      <w:r w:rsidRPr="002D0F70">
        <w:rPr>
          <w:rFonts w:ascii="Arial" w:hAnsi="Arial"/>
          <w:sz w:val="24"/>
          <w:szCs w:val="24"/>
          <w:lang w:val="en-US"/>
        </w:rPr>
        <w:t xml:space="preserve">–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Средства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финансијског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обезбеђења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, у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финансијском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документу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Банкарска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гаранција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за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озбиљност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понуде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стоји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услов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наручиоца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она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важи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најмање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30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дана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од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дана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отварања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понуда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. 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Наручилац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је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дана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13.05.2016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године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жељи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једног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понуђача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продужио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рок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за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подношење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понуда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16.05.2016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24.05.2016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године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и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тиме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направио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проблеме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и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додатне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трошкове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другим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потенцијалним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понуђачима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везано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за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прибављање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предметне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банкарске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гаранције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. С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обзиром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је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продужење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рока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објављено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13.05.2016 у 12.17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часова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(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петак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), а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је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првобитно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утврђен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рок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за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доставу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понуда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16.05.2016(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понедељак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),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логично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је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потенцијални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понуђачи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већ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морали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прибавити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тражену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гаранцију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утврђеним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датумом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њеног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важења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(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прилог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3,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страна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53 –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Модел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гаранције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за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учешће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тендеру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).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Овим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незаконитим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продужењем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рока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без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образложених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разлога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понуђачи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стављени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у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неравноправан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положај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јер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принуђени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(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осим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оног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чија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је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жеља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испуњена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)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поново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прибављају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предметну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гаранцију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зашта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је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потребна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нова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процедура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проток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времена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и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нови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додатни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трошкови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јер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се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продужење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рока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важности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гаранције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наплаћује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као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и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издавање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нове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0F70">
        <w:rPr>
          <w:rFonts w:ascii="Arial" w:hAnsi="Arial"/>
          <w:sz w:val="24"/>
          <w:szCs w:val="24"/>
          <w:lang w:val="en-US"/>
        </w:rPr>
        <w:t>гаранције</w:t>
      </w:r>
      <w:proofErr w:type="spellEnd"/>
      <w:r w:rsidRPr="002D0F70">
        <w:rPr>
          <w:rFonts w:ascii="Arial" w:hAnsi="Arial"/>
          <w:sz w:val="24"/>
          <w:szCs w:val="24"/>
          <w:lang w:val="en-US"/>
        </w:rPr>
        <w:t xml:space="preserve">. </w:t>
      </w:r>
    </w:p>
    <w:p w:rsidR="002D0F70" w:rsidRPr="002D4019" w:rsidRDefault="002D0F70" w:rsidP="002D0F70">
      <w:pPr>
        <w:spacing w:line="240" w:lineRule="auto"/>
        <w:rPr>
          <w:rFonts w:ascii="Arial" w:hAnsi="Arial"/>
          <w:sz w:val="24"/>
          <w:szCs w:val="24"/>
          <w:lang w:val="sr-Cyrl-RS"/>
        </w:rPr>
      </w:pPr>
      <w:proofErr w:type="spellStart"/>
      <w:r w:rsidRPr="002D4019">
        <w:rPr>
          <w:rFonts w:ascii="Arial" w:hAnsi="Arial"/>
          <w:sz w:val="24"/>
          <w:szCs w:val="24"/>
          <w:lang w:val="en-US"/>
        </w:rPr>
        <w:t>Да</w:t>
      </w:r>
      <w:proofErr w:type="spellEnd"/>
      <w:r w:rsidRPr="002D401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4019">
        <w:rPr>
          <w:rFonts w:ascii="Arial" w:hAnsi="Arial"/>
          <w:sz w:val="24"/>
          <w:szCs w:val="24"/>
          <w:lang w:val="en-US"/>
        </w:rPr>
        <w:t>ли</w:t>
      </w:r>
      <w:proofErr w:type="spellEnd"/>
      <w:r w:rsidRPr="002D401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4019">
        <w:rPr>
          <w:rFonts w:ascii="Arial" w:hAnsi="Arial"/>
          <w:sz w:val="24"/>
          <w:szCs w:val="24"/>
          <w:lang w:val="en-US"/>
        </w:rPr>
        <w:t>је</w:t>
      </w:r>
      <w:proofErr w:type="spellEnd"/>
      <w:r w:rsidRPr="002D401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4019">
        <w:rPr>
          <w:rFonts w:ascii="Arial" w:hAnsi="Arial"/>
          <w:sz w:val="24"/>
          <w:szCs w:val="24"/>
          <w:lang w:val="en-US"/>
        </w:rPr>
        <w:t>за</w:t>
      </w:r>
      <w:proofErr w:type="spellEnd"/>
      <w:r w:rsidRPr="002D401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4019">
        <w:rPr>
          <w:rFonts w:ascii="Arial" w:hAnsi="Arial"/>
          <w:sz w:val="24"/>
          <w:szCs w:val="24"/>
          <w:lang w:val="en-US"/>
        </w:rPr>
        <w:t>наручиоца</w:t>
      </w:r>
      <w:proofErr w:type="spellEnd"/>
      <w:r w:rsidRPr="002D401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4019">
        <w:rPr>
          <w:rFonts w:ascii="Arial" w:hAnsi="Arial"/>
          <w:sz w:val="24"/>
          <w:szCs w:val="24"/>
          <w:lang w:val="en-US"/>
        </w:rPr>
        <w:t>прихватљива</w:t>
      </w:r>
      <w:proofErr w:type="spellEnd"/>
      <w:r w:rsidRPr="002D401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4019">
        <w:rPr>
          <w:rFonts w:ascii="Arial" w:hAnsi="Arial"/>
          <w:sz w:val="24"/>
          <w:szCs w:val="24"/>
          <w:lang w:val="en-US"/>
        </w:rPr>
        <w:t>банкарска</w:t>
      </w:r>
      <w:proofErr w:type="spellEnd"/>
      <w:r w:rsidRPr="002D401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4019">
        <w:rPr>
          <w:rFonts w:ascii="Arial" w:hAnsi="Arial"/>
          <w:sz w:val="24"/>
          <w:szCs w:val="24"/>
          <w:lang w:val="en-US"/>
        </w:rPr>
        <w:t>гаранција</w:t>
      </w:r>
      <w:proofErr w:type="spellEnd"/>
      <w:r w:rsidRPr="002D401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4019">
        <w:rPr>
          <w:rFonts w:ascii="Arial" w:hAnsi="Arial"/>
          <w:sz w:val="24"/>
          <w:szCs w:val="24"/>
          <w:lang w:val="en-US"/>
        </w:rPr>
        <w:t>за</w:t>
      </w:r>
      <w:proofErr w:type="spellEnd"/>
      <w:r w:rsidRPr="002D401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4019">
        <w:rPr>
          <w:rFonts w:ascii="Arial" w:hAnsi="Arial"/>
          <w:sz w:val="24"/>
          <w:szCs w:val="24"/>
          <w:lang w:val="en-US"/>
        </w:rPr>
        <w:t>озбиљност</w:t>
      </w:r>
      <w:proofErr w:type="spellEnd"/>
      <w:r w:rsidRPr="002D401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4019">
        <w:rPr>
          <w:rFonts w:ascii="Arial" w:hAnsi="Arial"/>
          <w:sz w:val="24"/>
          <w:szCs w:val="24"/>
          <w:lang w:val="en-US"/>
        </w:rPr>
        <w:t>понуде</w:t>
      </w:r>
      <w:proofErr w:type="spellEnd"/>
      <w:r w:rsidRPr="002D401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4019">
        <w:rPr>
          <w:rFonts w:ascii="Arial" w:hAnsi="Arial"/>
          <w:sz w:val="24"/>
          <w:szCs w:val="24"/>
          <w:lang w:val="en-US"/>
        </w:rPr>
        <w:t>прибављена</w:t>
      </w:r>
      <w:proofErr w:type="spellEnd"/>
      <w:r w:rsidRPr="002D401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4019">
        <w:rPr>
          <w:rFonts w:ascii="Arial" w:hAnsi="Arial"/>
          <w:sz w:val="24"/>
          <w:szCs w:val="24"/>
          <w:lang w:val="en-US"/>
        </w:rPr>
        <w:t>пре</w:t>
      </w:r>
      <w:proofErr w:type="spellEnd"/>
      <w:r w:rsidRPr="002D401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4019">
        <w:rPr>
          <w:rFonts w:ascii="Arial" w:hAnsi="Arial"/>
          <w:sz w:val="24"/>
          <w:szCs w:val="24"/>
          <w:lang w:val="en-US"/>
        </w:rPr>
        <w:t>датума</w:t>
      </w:r>
      <w:proofErr w:type="spellEnd"/>
      <w:r w:rsidRPr="002D401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4019">
        <w:rPr>
          <w:rFonts w:ascii="Arial" w:hAnsi="Arial"/>
          <w:sz w:val="24"/>
          <w:szCs w:val="24"/>
          <w:lang w:val="en-US"/>
        </w:rPr>
        <w:t>продужења</w:t>
      </w:r>
      <w:proofErr w:type="spellEnd"/>
      <w:r w:rsidRPr="002D401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2D4019">
        <w:rPr>
          <w:rFonts w:ascii="Arial" w:hAnsi="Arial"/>
          <w:sz w:val="24"/>
          <w:szCs w:val="24"/>
          <w:lang w:val="en-US"/>
        </w:rPr>
        <w:t>рока</w:t>
      </w:r>
      <w:proofErr w:type="spellEnd"/>
      <w:r w:rsidRPr="002D4019">
        <w:rPr>
          <w:rFonts w:ascii="Arial" w:hAnsi="Arial"/>
          <w:sz w:val="24"/>
          <w:szCs w:val="24"/>
          <w:lang w:val="en-US"/>
        </w:rPr>
        <w:t xml:space="preserve"> ?</w:t>
      </w:r>
      <w:proofErr w:type="gramEnd"/>
    </w:p>
    <w:p w:rsidR="00903F91" w:rsidRPr="00E12B59" w:rsidRDefault="00903F91" w:rsidP="00903F91">
      <w:pPr>
        <w:spacing w:line="240" w:lineRule="auto"/>
        <w:jc w:val="left"/>
        <w:rPr>
          <w:rFonts w:ascii="Times New Roman" w:hAnsi="Times New Roman" w:cstheme="minorBidi"/>
          <w:noProof/>
          <w:sz w:val="28"/>
          <w:szCs w:val="28"/>
          <w:lang w:val="sr-Cyrl-RS" w:eastAsia="sr-Latn-CS"/>
        </w:rPr>
      </w:pPr>
    </w:p>
    <w:p w:rsidR="00903F91" w:rsidRDefault="00903F91" w:rsidP="00903F91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 xml:space="preserve">: </w:t>
      </w:r>
    </w:p>
    <w:p w:rsidR="00615013" w:rsidRDefault="002D4019" w:rsidP="00615013">
      <w:pPr>
        <w:spacing w:line="240" w:lineRule="auto"/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iCs/>
          <w:lang w:val="sr-Cyrl-RS"/>
        </w:rPr>
        <w:t xml:space="preserve">За Наручиоца је прихватљива </w:t>
      </w:r>
      <w:proofErr w:type="spellStart"/>
      <w:r w:rsidRPr="002D4019">
        <w:rPr>
          <w:rFonts w:ascii="Arial" w:hAnsi="Arial"/>
          <w:sz w:val="24"/>
          <w:szCs w:val="24"/>
          <w:lang w:val="en-US"/>
        </w:rPr>
        <w:t>банкарска</w:t>
      </w:r>
      <w:proofErr w:type="spellEnd"/>
      <w:r w:rsidRPr="002D401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4019">
        <w:rPr>
          <w:rFonts w:ascii="Arial" w:hAnsi="Arial"/>
          <w:sz w:val="24"/>
          <w:szCs w:val="24"/>
          <w:lang w:val="en-US"/>
        </w:rPr>
        <w:t>гаранција</w:t>
      </w:r>
      <w:proofErr w:type="spellEnd"/>
      <w:r w:rsidRPr="002D401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4019">
        <w:rPr>
          <w:rFonts w:ascii="Arial" w:hAnsi="Arial"/>
          <w:sz w:val="24"/>
          <w:szCs w:val="24"/>
          <w:lang w:val="en-US"/>
        </w:rPr>
        <w:t>за</w:t>
      </w:r>
      <w:proofErr w:type="spellEnd"/>
      <w:r w:rsidRPr="002D401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4019">
        <w:rPr>
          <w:rFonts w:ascii="Arial" w:hAnsi="Arial"/>
          <w:sz w:val="24"/>
          <w:szCs w:val="24"/>
          <w:lang w:val="en-US"/>
        </w:rPr>
        <w:t>озбиљност</w:t>
      </w:r>
      <w:proofErr w:type="spellEnd"/>
      <w:r w:rsidRPr="002D401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4019">
        <w:rPr>
          <w:rFonts w:ascii="Arial" w:hAnsi="Arial"/>
          <w:sz w:val="24"/>
          <w:szCs w:val="24"/>
          <w:lang w:val="en-US"/>
        </w:rPr>
        <w:t>понуде</w:t>
      </w:r>
      <w:proofErr w:type="spellEnd"/>
      <w:r w:rsidRPr="002D401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4019">
        <w:rPr>
          <w:rFonts w:ascii="Arial" w:hAnsi="Arial"/>
          <w:sz w:val="24"/>
          <w:szCs w:val="24"/>
          <w:lang w:val="en-US"/>
        </w:rPr>
        <w:t>прибављена</w:t>
      </w:r>
      <w:proofErr w:type="spellEnd"/>
      <w:r w:rsidRPr="002D401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4019">
        <w:rPr>
          <w:rFonts w:ascii="Arial" w:hAnsi="Arial"/>
          <w:sz w:val="24"/>
          <w:szCs w:val="24"/>
          <w:lang w:val="en-US"/>
        </w:rPr>
        <w:t>пре</w:t>
      </w:r>
      <w:proofErr w:type="spellEnd"/>
      <w:r w:rsidRPr="002D401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4019">
        <w:rPr>
          <w:rFonts w:ascii="Arial" w:hAnsi="Arial"/>
          <w:sz w:val="24"/>
          <w:szCs w:val="24"/>
          <w:lang w:val="en-US"/>
        </w:rPr>
        <w:t>датума</w:t>
      </w:r>
      <w:proofErr w:type="spellEnd"/>
      <w:r w:rsidRPr="002D401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4019">
        <w:rPr>
          <w:rFonts w:ascii="Arial" w:hAnsi="Arial"/>
          <w:sz w:val="24"/>
          <w:szCs w:val="24"/>
          <w:lang w:val="en-US"/>
        </w:rPr>
        <w:t>продужења</w:t>
      </w:r>
      <w:proofErr w:type="spellEnd"/>
      <w:r w:rsidRPr="002D401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2D4019">
        <w:rPr>
          <w:rFonts w:ascii="Arial" w:hAnsi="Arial"/>
          <w:sz w:val="24"/>
          <w:szCs w:val="24"/>
          <w:lang w:val="en-US"/>
        </w:rPr>
        <w:t>рока</w:t>
      </w:r>
      <w:proofErr w:type="spellEnd"/>
      <w:r>
        <w:rPr>
          <w:rFonts w:ascii="Arial" w:hAnsi="Arial"/>
          <w:sz w:val="24"/>
          <w:szCs w:val="24"/>
          <w:lang w:val="sr-Cyrl-RS"/>
        </w:rPr>
        <w:t>.</w:t>
      </w:r>
    </w:p>
    <w:p w:rsidR="002D4019" w:rsidRPr="002D4019" w:rsidRDefault="002D4019" w:rsidP="00615013">
      <w:pPr>
        <w:spacing w:line="240" w:lineRule="auto"/>
        <w:rPr>
          <w:rFonts w:ascii="Arial" w:hAnsi="Arial"/>
          <w:iCs/>
          <w:lang w:val="sr-Cyrl-RS"/>
        </w:rPr>
      </w:pPr>
    </w:p>
    <w:p w:rsidR="00823373" w:rsidRDefault="00A02986" w:rsidP="00A02986">
      <w:pPr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 xml:space="preserve">                            </w:t>
      </w:r>
      <w:r w:rsidR="00823373" w:rsidRPr="00D97D88">
        <w:rPr>
          <w:rFonts w:ascii="Arial" w:hAnsi="Arial"/>
          <w:iCs/>
        </w:rPr>
        <w:t>КОМИСИЈА</w:t>
      </w:r>
      <w:r>
        <w:rPr>
          <w:rFonts w:ascii="Arial" w:hAnsi="Arial"/>
          <w:iCs/>
          <w:lang w:val="sr-Latn-RS"/>
        </w:rPr>
        <w:t>:</w:t>
      </w:r>
    </w:p>
    <w:p w:rsidR="000F0A61" w:rsidRPr="00D97D88" w:rsidRDefault="00823373" w:rsidP="00E12B5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0F" w:rsidRDefault="00ED3F0F" w:rsidP="004A61DF">
      <w:pPr>
        <w:spacing w:line="240" w:lineRule="auto"/>
      </w:pPr>
      <w:r>
        <w:separator/>
      </w:r>
    </w:p>
  </w:endnote>
  <w:endnote w:type="continuationSeparator" w:id="0">
    <w:p w:rsidR="00ED3F0F" w:rsidRDefault="00ED3F0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3793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3793D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0F" w:rsidRDefault="00ED3F0F" w:rsidP="004A61DF">
      <w:pPr>
        <w:spacing w:line="240" w:lineRule="auto"/>
      </w:pPr>
      <w:r>
        <w:separator/>
      </w:r>
    </w:p>
  </w:footnote>
  <w:footnote w:type="continuationSeparator" w:id="0">
    <w:p w:rsidR="00ED3F0F" w:rsidRDefault="00ED3F0F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322924"/>
    <w:multiLevelType w:val="hybridMultilevel"/>
    <w:tmpl w:val="F0C65EC0"/>
    <w:lvl w:ilvl="0" w:tplc="69C66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D65695D"/>
    <w:multiLevelType w:val="hybridMultilevel"/>
    <w:tmpl w:val="DA86062E"/>
    <w:lvl w:ilvl="0" w:tplc="9F0E64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C87F7F"/>
    <w:multiLevelType w:val="hybridMultilevel"/>
    <w:tmpl w:val="3C366000"/>
    <w:lvl w:ilvl="0" w:tplc="09405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3AFF"/>
    <w:rsid w:val="00146FE7"/>
    <w:rsid w:val="00154E5B"/>
    <w:rsid w:val="00161DB4"/>
    <w:rsid w:val="00162150"/>
    <w:rsid w:val="00170BB3"/>
    <w:rsid w:val="00194F6C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D0F70"/>
    <w:rsid w:val="002D4019"/>
    <w:rsid w:val="00311D82"/>
    <w:rsid w:val="0031682F"/>
    <w:rsid w:val="00320005"/>
    <w:rsid w:val="003317EC"/>
    <w:rsid w:val="00333A36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708D"/>
    <w:rsid w:val="0051101B"/>
    <w:rsid w:val="00532302"/>
    <w:rsid w:val="005649E0"/>
    <w:rsid w:val="005B59C7"/>
    <w:rsid w:val="005B64D9"/>
    <w:rsid w:val="005D014C"/>
    <w:rsid w:val="005F421D"/>
    <w:rsid w:val="00603D2C"/>
    <w:rsid w:val="006078A2"/>
    <w:rsid w:val="00615013"/>
    <w:rsid w:val="00617F52"/>
    <w:rsid w:val="00624BD5"/>
    <w:rsid w:val="0062749F"/>
    <w:rsid w:val="00627566"/>
    <w:rsid w:val="0068738F"/>
    <w:rsid w:val="006A2AE7"/>
    <w:rsid w:val="006A7204"/>
    <w:rsid w:val="006B1D8A"/>
    <w:rsid w:val="006B38CE"/>
    <w:rsid w:val="006F1F39"/>
    <w:rsid w:val="00714B24"/>
    <w:rsid w:val="00753BB6"/>
    <w:rsid w:val="00754F8B"/>
    <w:rsid w:val="007F61D9"/>
    <w:rsid w:val="008031F2"/>
    <w:rsid w:val="008034F0"/>
    <w:rsid w:val="00804087"/>
    <w:rsid w:val="00812250"/>
    <w:rsid w:val="00823373"/>
    <w:rsid w:val="00866BB4"/>
    <w:rsid w:val="00880B15"/>
    <w:rsid w:val="008A3599"/>
    <w:rsid w:val="008A4FE4"/>
    <w:rsid w:val="008C28EE"/>
    <w:rsid w:val="008D056C"/>
    <w:rsid w:val="00903F91"/>
    <w:rsid w:val="00905C03"/>
    <w:rsid w:val="00911D08"/>
    <w:rsid w:val="0093793D"/>
    <w:rsid w:val="00951C14"/>
    <w:rsid w:val="0095358C"/>
    <w:rsid w:val="009558C4"/>
    <w:rsid w:val="00955C04"/>
    <w:rsid w:val="00975013"/>
    <w:rsid w:val="00990A0E"/>
    <w:rsid w:val="009A50D7"/>
    <w:rsid w:val="009E6CE5"/>
    <w:rsid w:val="009F4C4B"/>
    <w:rsid w:val="00A02986"/>
    <w:rsid w:val="00A20DDE"/>
    <w:rsid w:val="00A51CB8"/>
    <w:rsid w:val="00A70CB7"/>
    <w:rsid w:val="00A9334D"/>
    <w:rsid w:val="00A9548A"/>
    <w:rsid w:val="00AA1577"/>
    <w:rsid w:val="00AA54F2"/>
    <w:rsid w:val="00AB3121"/>
    <w:rsid w:val="00AF4BC3"/>
    <w:rsid w:val="00B163E4"/>
    <w:rsid w:val="00B30C16"/>
    <w:rsid w:val="00B43364"/>
    <w:rsid w:val="00B47567"/>
    <w:rsid w:val="00B57D73"/>
    <w:rsid w:val="00B75FD0"/>
    <w:rsid w:val="00B873A9"/>
    <w:rsid w:val="00BB1E7F"/>
    <w:rsid w:val="00BB5173"/>
    <w:rsid w:val="00BC6BDD"/>
    <w:rsid w:val="00C04B2D"/>
    <w:rsid w:val="00C06B98"/>
    <w:rsid w:val="00C16405"/>
    <w:rsid w:val="00C200E0"/>
    <w:rsid w:val="00C32ABE"/>
    <w:rsid w:val="00C34240"/>
    <w:rsid w:val="00C45350"/>
    <w:rsid w:val="00C50A18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06094"/>
    <w:rsid w:val="00E12B59"/>
    <w:rsid w:val="00E173B4"/>
    <w:rsid w:val="00E323DC"/>
    <w:rsid w:val="00E450F3"/>
    <w:rsid w:val="00E55CA0"/>
    <w:rsid w:val="00E61B0F"/>
    <w:rsid w:val="00E67599"/>
    <w:rsid w:val="00E80479"/>
    <w:rsid w:val="00E912CB"/>
    <w:rsid w:val="00EB02B8"/>
    <w:rsid w:val="00EB53F8"/>
    <w:rsid w:val="00ED3F0F"/>
    <w:rsid w:val="00ED75CE"/>
    <w:rsid w:val="00F33CFB"/>
    <w:rsid w:val="00F514F8"/>
    <w:rsid w:val="00F730C5"/>
    <w:rsid w:val="00F75895"/>
    <w:rsid w:val="00F85849"/>
    <w:rsid w:val="00FB7B94"/>
    <w:rsid w:val="00FC01E0"/>
    <w:rsid w:val="00FE0AD3"/>
    <w:rsid w:val="00FE1A75"/>
    <w:rsid w:val="00FE2394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Srdjan Jankovic</cp:lastModifiedBy>
  <cp:revision>35</cp:revision>
  <cp:lastPrinted>2016-05-17T09:21:00Z</cp:lastPrinted>
  <dcterms:created xsi:type="dcterms:W3CDTF">2015-08-31T09:45:00Z</dcterms:created>
  <dcterms:modified xsi:type="dcterms:W3CDTF">2016-05-17T11:53:00Z</dcterms:modified>
</cp:coreProperties>
</file>