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208A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 xml:space="preserve">ДРУГА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208AE" w:rsidRDefault="00C6690C" w:rsidP="00E208AE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208AE">
        <w:rPr>
          <w:rFonts w:ascii="Arial" w:hAnsi="Arial" w:cs="Arial"/>
          <w:i/>
          <w:color w:val="4F81BD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6A282F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A282F">
        <w:rPr>
          <w:rFonts w:ascii="Arial" w:hAnsi="Arial" w:cs="Arial"/>
          <w:b/>
          <w:bCs/>
          <w:sz w:val="22"/>
          <w:szCs w:val="22"/>
          <w:lang w:val="sr-Cyrl-RS"/>
        </w:rPr>
        <w:t>Одржавање систeмa прoтивпрoвaлнe заштите СО и 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A282F" w:rsidRPr="006A282F" w:rsidRDefault="00C6690C" w:rsidP="006A282F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A282F" w:rsidRPr="006A282F">
        <w:rPr>
          <w:rFonts w:ascii="Arial" w:hAnsi="Arial" w:cs="Arial"/>
          <w:b/>
          <w:sz w:val="22"/>
          <w:szCs w:val="22"/>
          <w:lang w:val="en-US" w:eastAsia="en-US"/>
        </w:rPr>
        <w:t>3000/1801/2016 (1263/2016)</w:t>
      </w:r>
    </w:p>
    <w:p w:rsidR="00C6690C" w:rsidRPr="00295D8C" w:rsidRDefault="00C6690C" w:rsidP="006A282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D4CF2">
        <w:rPr>
          <w:rFonts w:ascii="Arial" w:hAnsi="Arial" w:cs="Arial"/>
          <w:sz w:val="22"/>
          <w:szCs w:val="22"/>
          <w:lang w:val="sr-Latn-RS"/>
        </w:rPr>
        <w:t>105-E.03.01-267023/9-2016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D4CF2">
        <w:rPr>
          <w:rFonts w:ascii="Arial" w:hAnsi="Arial" w:cs="Arial"/>
          <w:sz w:val="22"/>
          <w:szCs w:val="22"/>
          <w:lang w:val="sr-Latn-RS"/>
        </w:rPr>
        <w:t>29.09.2016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208A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208A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208A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A282F" w:rsidRPr="006A282F" w:rsidRDefault="00C6690C" w:rsidP="006A282F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A282F" w:rsidRPr="006A282F">
        <w:rPr>
          <w:rFonts w:ascii="Arial" w:hAnsi="Arial" w:cs="Arial"/>
          <w:b/>
          <w:sz w:val="22"/>
          <w:szCs w:val="22"/>
          <w:lang w:val="en-US" w:eastAsia="en-US"/>
        </w:rPr>
        <w:t>3000/1801/2016 (1263/2016)</w:t>
      </w:r>
    </w:p>
    <w:p w:rsidR="00C6690C" w:rsidRPr="00295D8C" w:rsidRDefault="00C6690C" w:rsidP="006A282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208AE" w:rsidRDefault="00E208A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208AE">
        <w:rPr>
          <w:rFonts w:ascii="Arial" w:hAnsi="Arial" w:cs="Arial"/>
          <w:sz w:val="22"/>
          <w:szCs w:val="22"/>
          <w:lang w:val="sr-Cyrl-RS"/>
        </w:rPr>
        <w:t>Мења се</w:t>
      </w:r>
      <w:r>
        <w:rPr>
          <w:rFonts w:ascii="Arial" w:hAnsi="Arial" w:cs="Arial"/>
          <w:sz w:val="22"/>
          <w:szCs w:val="22"/>
        </w:rPr>
        <w:t xml:space="preserve"> конкурсне документациј</w:t>
      </w:r>
      <w:r>
        <w:rPr>
          <w:rFonts w:ascii="Arial" w:hAnsi="Arial" w:cs="Arial"/>
          <w:sz w:val="22"/>
          <w:szCs w:val="22"/>
          <w:lang w:val="sr-Cyrl-RS"/>
        </w:rPr>
        <w:t>а у следећим деловима:</w:t>
      </w:r>
    </w:p>
    <w:p w:rsidR="00596EBF" w:rsidRPr="00E208AE" w:rsidRDefault="00E208AE" w:rsidP="00596EB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- у делу </w:t>
      </w:r>
      <w:r w:rsidRPr="00B423B9">
        <w:rPr>
          <w:rFonts w:ascii="Arial" w:eastAsia="Calibri" w:hAnsi="Arial" w:cs="Arial"/>
          <w:b/>
          <w:sz w:val="22"/>
          <w:szCs w:val="22"/>
          <w:lang w:val="sr-Latn-RS" w:eastAsia="sr-Latn-RS"/>
        </w:rPr>
        <w:t>3.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>Техничка спецификација</w:t>
      </w:r>
      <w:r w:rsidR="00596EB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у тачки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="00596EBF" w:rsidRPr="00E208AE">
        <w:rPr>
          <w:rFonts w:ascii="Arial" w:hAnsi="Arial" w:cs="Arial"/>
          <w:b/>
          <w:sz w:val="22"/>
          <w:szCs w:val="22"/>
          <w:lang w:val="en-US" w:eastAsia="en-US"/>
        </w:rPr>
        <w:t>3.1. Технички  опис захтеваних услуга</w:t>
      </w:r>
    </w:p>
    <w:p w:rsidR="00E208AE" w:rsidRPr="006A282F" w:rsidRDefault="00E208AE" w:rsidP="006A282F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sr-Latn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и сада гласи;</w:t>
      </w:r>
    </w:p>
    <w:p w:rsidR="006A282F" w:rsidRPr="006A282F" w:rsidRDefault="006A282F" w:rsidP="006A282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6A282F">
        <w:rPr>
          <w:rFonts w:ascii="Arial" w:hAnsi="Arial" w:cs="Arial"/>
          <w:b/>
          <w:sz w:val="22"/>
          <w:szCs w:val="22"/>
          <w:lang w:val="en-US" w:eastAsia="en-US"/>
        </w:rPr>
        <w:t>3.1. Технички  опис захтеваних услуга</w:t>
      </w:r>
    </w:p>
    <w:p w:rsidR="006A282F" w:rsidRPr="006A282F" w:rsidRDefault="006A282F" w:rsidP="006A282F">
      <w:pPr>
        <w:tabs>
          <w:tab w:val="left" w:pos="1350"/>
          <w:tab w:val="left" w:pos="1530"/>
        </w:tabs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6A282F" w:rsidRPr="006A282F" w:rsidRDefault="006A282F" w:rsidP="006A282F">
      <w:pPr>
        <w:tabs>
          <w:tab w:val="left" w:pos="1350"/>
          <w:tab w:val="left" w:pos="1530"/>
        </w:tabs>
        <w:suppressAutoHyphens w:val="0"/>
        <w:spacing w:after="200" w:line="276" w:lineRule="auto"/>
        <w:ind w:left="-3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eastAsia="en-US"/>
        </w:rPr>
        <w:t>Одржавање и сервисирање</w:t>
      </w:r>
      <w:r w:rsidRPr="006A28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противпровалних алармних уређаја, инсталираних у објектима Огранка ТЕНТ, са заменом резервних делова,  односи </w:t>
      </w:r>
      <w:r w:rsidRPr="006A282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се на </w:t>
      </w:r>
      <w:r w:rsidRPr="006A282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следеће:</w:t>
      </w:r>
    </w:p>
    <w:p w:rsidR="006A282F" w:rsidRPr="006A282F" w:rsidRDefault="006A282F" w:rsidP="006A282F">
      <w:pPr>
        <w:tabs>
          <w:tab w:val="left" w:pos="189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Преглед и контролу исправности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19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алармних централа, и то: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9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А,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Б,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5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ТЕК и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ТЕМ;</w:t>
      </w:r>
    </w:p>
    <w:p w:rsidR="006A282F" w:rsidRPr="006A282F" w:rsidRDefault="006A282F" w:rsidP="006A282F">
      <w:pPr>
        <w:tabs>
          <w:tab w:val="left" w:pos="189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Контролу и чишћење од прашине </w:t>
      </w:r>
      <w:r w:rsidRPr="006A282F">
        <w:rPr>
          <w:rFonts w:ascii="Arial" w:eastAsia="Calibri" w:hAnsi="Arial" w:cs="Arial"/>
          <w:sz w:val="22"/>
          <w:szCs w:val="22"/>
          <w:lang w:val="sr-Latn-CS" w:eastAsia="en-US"/>
        </w:rPr>
        <w:t xml:space="preserve">132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сензора - јављача за алармни систем , и то: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44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А,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21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Б,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30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ТЕК и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37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ТЕМ;</w:t>
      </w:r>
    </w:p>
    <w:p w:rsidR="006A282F" w:rsidRPr="006A282F" w:rsidRDefault="006A282F" w:rsidP="006A282F">
      <w:pPr>
        <w:tabs>
          <w:tab w:val="left" w:pos="189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Преглед и контролу исправности  2 баријере на ТЕНТ А;</w:t>
      </w:r>
    </w:p>
    <w:p w:rsidR="006A282F" w:rsidRPr="006A282F" w:rsidRDefault="006A282F" w:rsidP="006A282F">
      <w:pPr>
        <w:tabs>
          <w:tab w:val="left" w:pos="189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Контролу и подешавање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19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система за пуњење акумулатора алармних централа.</w:t>
      </w:r>
    </w:p>
    <w:p w:rsidR="006A282F" w:rsidRPr="006A282F" w:rsidRDefault="006A282F" w:rsidP="006A282F">
      <w:pPr>
        <w:tabs>
          <w:tab w:val="left" w:pos="189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Замена резервних делова</w:t>
      </w:r>
    </w:p>
    <w:p w:rsidR="006A282F" w:rsidRPr="006A282F" w:rsidRDefault="006A282F" w:rsidP="006A282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>Одржавање подразумева:</w:t>
      </w: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Превентивно одржавање, и то на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месец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(преглед исправности и чишћење</w:t>
      </w:r>
    </w:p>
    <w:p w:rsidR="006A282F" w:rsidRPr="006A282F" w:rsidRDefault="006A282F" w:rsidP="006A282F">
      <w:pPr>
        <w:suppressAutoHyphens w:val="0"/>
        <w:spacing w:line="276" w:lineRule="auto"/>
        <w:ind w:left="-394" w:firstLine="1102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горе наведених уређаја);</w:t>
      </w: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Резервни делови - корективно одржавање (интервенција у случају квара на     уређајима, по пријави корисника, а  према условима уговора).</w:t>
      </w:r>
    </w:p>
    <w:p w:rsidR="006A282F" w:rsidRPr="006A282F" w:rsidRDefault="006A282F" w:rsidP="006A282F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A282F" w:rsidRPr="006A282F" w:rsidRDefault="006A282F" w:rsidP="006A282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</w:t>
      </w: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Обавеза  понуђача је да достави лиценцу произвођача или генералног увозника опреме-„</w:t>
      </w:r>
      <w:r w:rsidRPr="006A282F">
        <w:rPr>
          <w:rFonts w:ascii="Arial" w:eastAsia="Calibri" w:hAnsi="Arial" w:cs="Arial"/>
          <w:b/>
          <w:sz w:val="22"/>
          <w:szCs w:val="22"/>
          <w:lang w:val="en-US" w:eastAsia="en-US"/>
        </w:rPr>
        <w:t>PARADOX</w:t>
      </w: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“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која је уграђена у објектима Огранка ТЕНТ, за одржавање и сервисирање противпровалних алармних уређаја</w:t>
      </w:r>
    </w:p>
    <w:p w:rsidR="006A282F" w:rsidRPr="006A282F" w:rsidRDefault="006A282F" w:rsidP="006A282F">
      <w:pPr>
        <w:suppressAutoHyphens w:val="0"/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Уз понуде треба доставити ценовник радне снаге и основних резервних делова, и то: </w:t>
      </w:r>
    </w:p>
    <w:p w:rsidR="006A282F" w:rsidRPr="00E208AE" w:rsidRDefault="00E208AE" w:rsidP="00E208AE">
      <w:pPr>
        <w:suppressAutoHyphens w:val="0"/>
        <w:spacing w:line="276" w:lineRule="auto"/>
        <w:ind w:left="39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8"/>
        <w:gridCol w:w="3368"/>
      </w:tblGrid>
      <w:tr w:rsidR="006A282F" w:rsidRPr="00B533D7" w:rsidTr="00A353D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БР.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Резервни делови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Јединична цена без ПДВ-а</w:t>
            </w: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Носач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Кућиште алармног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Акумулатор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Трафо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мрежног модула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 xml:space="preserve">GSM dojava - </w:t>
            </w: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модул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телефонске дојаве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напајања и пуњење акумулатора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шифратора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Кућиште шифратора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Спољна сирена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Унутрашња сирена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Баријере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CC51A8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Цена норма сата - инж</w:t>
            </w:r>
            <w:r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>e</w:t>
            </w: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њера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6A282F" w:rsidRPr="00B533D7" w:rsidTr="00A353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CC51A8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Цена норма сата - техничара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B533D7" w:rsidRDefault="006A282F" w:rsidP="006A282F">
            <w:pPr>
              <w:suppressAutoHyphens w:val="0"/>
              <w:spacing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</w:tbl>
    <w:p w:rsidR="00E208AE" w:rsidRPr="006A282F" w:rsidRDefault="00E208AE" w:rsidP="006A282F">
      <w:pPr>
        <w:suppressAutoHyphens w:val="0"/>
        <w:spacing w:line="276" w:lineRule="auto"/>
        <w:ind w:left="397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E208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6A282F" w:rsidRPr="006A282F" w:rsidRDefault="006A282F" w:rsidP="006A282F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>Наручилац је издвојио средства предвиђена за резервне делове у вредносто од 190.000,00 динара без ПДВ-а.</w:t>
      </w:r>
    </w:p>
    <w:p w:rsidR="00596EBF" w:rsidRPr="00E208AE" w:rsidRDefault="00596EBF" w:rsidP="00E208AE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color w:val="1F497D"/>
          <w:sz w:val="22"/>
          <w:szCs w:val="22"/>
          <w:lang w:val="sr-Cyrl-RS" w:eastAsia="en-US"/>
        </w:rPr>
      </w:pPr>
    </w:p>
    <w:p w:rsidR="00596EBF" w:rsidRDefault="00596EBF" w:rsidP="00596EBF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-</w:t>
      </w:r>
      <w:r w:rsidRPr="00596EB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делу 7.Обрасци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, у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складу са измењеном техничком спецификацијом мења се Образац структуре цене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целости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(образац 2)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на начин дат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обрасцу </w:t>
      </w:r>
      <w:r w:rsidRPr="00B423B9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у прилогу.</w:t>
      </w:r>
    </w:p>
    <w:p w:rsidR="00C6690C" w:rsidRPr="00596EBF" w:rsidRDefault="00C6690C" w:rsidP="00596EB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96EB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596EB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прилогу:</w:t>
      </w:r>
    </w:p>
    <w:p w:rsidR="00596EBF" w:rsidRDefault="00596EB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596EBF" w:rsidRPr="00596EBF" w:rsidRDefault="00596EB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-важећи образац Структура цене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Pr="00596EBF" w:rsidRDefault="006A282F" w:rsidP="006A282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RS"/>
        </w:rPr>
        <w:t>3.</w:t>
      </w:r>
      <w:r w:rsidR="00596EBF" w:rsidRPr="00596EBF">
        <w:rPr>
          <w:rFonts w:ascii="Arial" w:hAnsi="Arial" w:cs="Arial"/>
          <w:b/>
          <w:sz w:val="22"/>
          <w:szCs w:val="22"/>
        </w:rPr>
        <w:t>ТЕХНИЧКАСПЕЦИФИКАЦИЈА</w:t>
      </w:r>
    </w:p>
    <w:p w:rsidR="006A282F" w:rsidRPr="006A282F" w:rsidRDefault="006A282F" w:rsidP="006A282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6A282F">
        <w:rPr>
          <w:rFonts w:ascii="Arial" w:hAnsi="Arial" w:cs="Arial"/>
          <w:b/>
          <w:sz w:val="22"/>
          <w:szCs w:val="22"/>
          <w:lang w:val="en-US" w:eastAsia="en-US"/>
        </w:rPr>
        <w:t>3.1. Технички  опис захтеваних услуга</w:t>
      </w:r>
    </w:p>
    <w:p w:rsidR="006A282F" w:rsidRPr="006A282F" w:rsidRDefault="006A282F" w:rsidP="006A282F">
      <w:pPr>
        <w:tabs>
          <w:tab w:val="left" w:pos="1350"/>
          <w:tab w:val="left" w:pos="1530"/>
        </w:tabs>
        <w:suppressAutoHyphens w:val="0"/>
        <w:spacing w:after="200" w:line="276" w:lineRule="auto"/>
        <w:ind w:left="-37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6A282F" w:rsidRPr="006A282F" w:rsidRDefault="006A282F" w:rsidP="006A282F">
      <w:pPr>
        <w:tabs>
          <w:tab w:val="left" w:pos="1350"/>
          <w:tab w:val="left" w:pos="1530"/>
        </w:tabs>
        <w:suppressAutoHyphens w:val="0"/>
        <w:spacing w:after="200" w:line="276" w:lineRule="auto"/>
        <w:ind w:left="-3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eastAsia="en-US"/>
        </w:rPr>
        <w:t>Одржавање и сервисирање</w:t>
      </w:r>
      <w:r w:rsidRPr="006A28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противпровалних алармних уређаја, инсталираних у објектима Огранка ТЕНТ, са заменом резервних делова,  односи </w:t>
      </w:r>
      <w:r w:rsidRPr="006A282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се на </w:t>
      </w:r>
      <w:r w:rsidRPr="006A282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следеће:</w:t>
      </w:r>
    </w:p>
    <w:p w:rsidR="006A282F" w:rsidRPr="006A282F" w:rsidRDefault="006A282F" w:rsidP="006A282F">
      <w:pPr>
        <w:numPr>
          <w:ilvl w:val="2"/>
          <w:numId w:val="14"/>
        </w:numPr>
        <w:tabs>
          <w:tab w:val="left" w:pos="1890"/>
        </w:tabs>
        <w:suppressAutoHyphens w:val="0"/>
        <w:spacing w:before="120" w:after="200" w:line="276" w:lineRule="auto"/>
        <w:ind w:left="70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Преглед и контролу исправности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19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алармних централа, и то: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9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А,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Б,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5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ТЕК и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ТЕМ;</w:t>
      </w:r>
    </w:p>
    <w:p w:rsidR="006A282F" w:rsidRPr="006A282F" w:rsidRDefault="006A282F" w:rsidP="006A282F">
      <w:pPr>
        <w:numPr>
          <w:ilvl w:val="2"/>
          <w:numId w:val="14"/>
        </w:numPr>
        <w:tabs>
          <w:tab w:val="left" w:pos="1890"/>
        </w:tabs>
        <w:suppressAutoHyphens w:val="0"/>
        <w:spacing w:before="120" w:after="200" w:line="276" w:lineRule="auto"/>
        <w:ind w:left="70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Контролу и чишћење од прашине </w:t>
      </w:r>
      <w:r w:rsidRPr="006A282F">
        <w:rPr>
          <w:rFonts w:ascii="Arial" w:eastAsia="Calibri" w:hAnsi="Arial" w:cs="Arial"/>
          <w:sz w:val="22"/>
          <w:szCs w:val="22"/>
          <w:lang w:val="sr-Latn-CS" w:eastAsia="en-US"/>
        </w:rPr>
        <w:t xml:space="preserve">132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сензора - јављача за алармни систем , и то: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44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А,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21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ТЕНТ Б,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30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ТЕК и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37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ТЕМ;</w:t>
      </w:r>
    </w:p>
    <w:p w:rsidR="006A282F" w:rsidRPr="006A282F" w:rsidRDefault="006A282F" w:rsidP="006A282F">
      <w:pPr>
        <w:numPr>
          <w:ilvl w:val="2"/>
          <w:numId w:val="14"/>
        </w:numPr>
        <w:tabs>
          <w:tab w:val="left" w:pos="1890"/>
        </w:tabs>
        <w:suppressAutoHyphens w:val="0"/>
        <w:spacing w:before="120" w:after="200" w:line="276" w:lineRule="auto"/>
        <w:ind w:left="70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Преглед и контролу исправности  2 баријере на ТЕНТ А;</w:t>
      </w:r>
    </w:p>
    <w:p w:rsidR="006A282F" w:rsidRPr="006A282F" w:rsidRDefault="006A282F" w:rsidP="006A282F">
      <w:pPr>
        <w:numPr>
          <w:ilvl w:val="2"/>
          <w:numId w:val="14"/>
        </w:numPr>
        <w:tabs>
          <w:tab w:val="left" w:pos="1890"/>
        </w:tabs>
        <w:suppressAutoHyphens w:val="0"/>
        <w:spacing w:before="120" w:after="200" w:line="276" w:lineRule="auto"/>
        <w:ind w:left="70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Контролу и подешавање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19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система за пуњење акумулатора алармних централа.</w:t>
      </w:r>
    </w:p>
    <w:p w:rsidR="006A282F" w:rsidRPr="006A282F" w:rsidRDefault="006A282F" w:rsidP="006A282F">
      <w:pPr>
        <w:numPr>
          <w:ilvl w:val="2"/>
          <w:numId w:val="14"/>
        </w:numPr>
        <w:tabs>
          <w:tab w:val="left" w:pos="1890"/>
        </w:tabs>
        <w:suppressAutoHyphens w:val="0"/>
        <w:spacing w:before="120" w:after="200" w:line="276" w:lineRule="auto"/>
        <w:ind w:left="70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Замена резервних делова</w:t>
      </w:r>
    </w:p>
    <w:p w:rsidR="006A282F" w:rsidRPr="006A282F" w:rsidRDefault="006A282F" w:rsidP="006A282F">
      <w:pPr>
        <w:suppressAutoHyphens w:val="0"/>
        <w:spacing w:line="276" w:lineRule="auto"/>
        <w:ind w:left="34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A282F" w:rsidRPr="006A282F" w:rsidRDefault="006A282F" w:rsidP="006A282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>Одржавање подразумева:</w:t>
      </w:r>
    </w:p>
    <w:p w:rsidR="006A282F" w:rsidRPr="006A282F" w:rsidRDefault="006A282F" w:rsidP="006A282F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Превентивно одржавање, и то на 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3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месец</w:t>
      </w:r>
      <w:r w:rsidRPr="006A282F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 (преглед исправности и чишћење</w:t>
      </w:r>
    </w:p>
    <w:p w:rsidR="006A282F" w:rsidRPr="006A282F" w:rsidRDefault="006A282F" w:rsidP="006A282F">
      <w:pPr>
        <w:suppressAutoHyphens w:val="0"/>
        <w:spacing w:line="276" w:lineRule="auto"/>
        <w:ind w:left="-394" w:firstLine="1102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горе наведених уређаја);</w:t>
      </w: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-737" w:firstLine="108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Резервни делови - корективно одржавање (интервенција у случају квара на     уређајима, по пријави корисника, а  према условима уговора).</w:t>
      </w:r>
    </w:p>
    <w:p w:rsidR="006A282F" w:rsidRPr="006A282F" w:rsidRDefault="006A282F" w:rsidP="006A282F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A282F" w:rsidRPr="006A282F" w:rsidRDefault="006A282F" w:rsidP="006A282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</w:t>
      </w:r>
    </w:p>
    <w:p w:rsidR="006A282F" w:rsidRPr="006A282F" w:rsidRDefault="006A282F" w:rsidP="006A282F">
      <w:pPr>
        <w:suppressAutoHyphens w:val="0"/>
        <w:spacing w:line="276" w:lineRule="auto"/>
        <w:ind w:firstLine="108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Обавеза  понуђача је да достави лиценцу произвођача или генералног увозника опреме-„</w:t>
      </w:r>
      <w:r w:rsidRPr="006A282F">
        <w:rPr>
          <w:rFonts w:ascii="Arial" w:eastAsia="Calibri" w:hAnsi="Arial" w:cs="Arial"/>
          <w:b/>
          <w:sz w:val="22"/>
          <w:szCs w:val="22"/>
          <w:lang w:val="en-US" w:eastAsia="en-US"/>
        </w:rPr>
        <w:t>PARADOX</w:t>
      </w: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“ </w:t>
      </w: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која је уграђена у објектима Огранка ТЕНТ, за одржавање и сервисирање противпровалних алармних уређаја</w:t>
      </w:r>
    </w:p>
    <w:p w:rsidR="006A282F" w:rsidRPr="006A282F" w:rsidRDefault="006A282F" w:rsidP="006A282F">
      <w:pPr>
        <w:suppressAutoHyphens w:val="0"/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6A282F" w:rsidRPr="006A282F" w:rsidRDefault="006A282F" w:rsidP="006A282F">
      <w:pPr>
        <w:numPr>
          <w:ilvl w:val="0"/>
          <w:numId w:val="10"/>
        </w:numPr>
        <w:suppressAutoHyphens w:val="0"/>
        <w:spacing w:before="120" w:after="200" w:line="276" w:lineRule="auto"/>
        <w:ind w:left="34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Уз понуде треба доставити ценовник радне снаге и основних резервних делова, и то: </w:t>
      </w:r>
    </w:p>
    <w:p w:rsidR="006A282F" w:rsidRPr="006A282F" w:rsidRDefault="006A282F" w:rsidP="006A282F">
      <w:p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58"/>
        <w:gridCol w:w="3355"/>
      </w:tblGrid>
      <w:tr w:rsidR="006A282F" w:rsidRPr="006A282F" w:rsidTr="00A353D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Резервни делови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ПДВ-а</w:t>
            </w: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лектроника сочива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Носач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Сочиво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Кућиште алармног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Акумулатор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Трафо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Електроника шифратора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Кућиште шифратора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Електроника телефонске дојаве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Електроника баријере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Напајање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Матична плоча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Графичка карта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Меморија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Хард диск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Мрежна карта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A282F" w:rsidRPr="006A282F" w:rsidTr="00A353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28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Цена норма сата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2F" w:rsidRPr="006A282F" w:rsidRDefault="006A282F" w:rsidP="006A282F">
            <w:pPr>
              <w:suppressAutoHyphens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6A282F" w:rsidRPr="006A282F" w:rsidRDefault="006A282F" w:rsidP="006A282F">
      <w:p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6A282F" w:rsidRPr="006A282F" w:rsidRDefault="006A282F" w:rsidP="006A282F">
      <w:p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6A282F">
        <w:rPr>
          <w:rFonts w:ascii="Arial" w:eastAsia="Calibri" w:hAnsi="Arial" w:cs="Arial"/>
          <w:b/>
          <w:sz w:val="22"/>
          <w:szCs w:val="22"/>
          <w:lang w:val="sr-Cyrl-RS" w:eastAsia="en-US"/>
        </w:rPr>
        <w:t>Наручилац је издвојио средства предвиђена за резервне делове у вредносто од 190.000,00 динара без ПДВ-а.</w:t>
      </w:r>
    </w:p>
    <w:p w:rsidR="006A282F" w:rsidRPr="006A282F" w:rsidRDefault="006A282F" w:rsidP="006A282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r w:rsidRPr="006A282F">
        <w:rPr>
          <w:rFonts w:ascii="Arial" w:hAnsi="Arial" w:cs="Arial"/>
          <w:b/>
          <w:sz w:val="22"/>
          <w:szCs w:val="22"/>
        </w:rPr>
        <w:t>3.</w:t>
      </w:r>
      <w:r w:rsidRPr="006A282F">
        <w:rPr>
          <w:rFonts w:ascii="Arial" w:hAnsi="Arial" w:cs="Arial"/>
          <w:b/>
          <w:sz w:val="22"/>
          <w:szCs w:val="22"/>
          <w:lang w:val="sr-Cyrl-RS"/>
        </w:rPr>
        <w:t>2</w:t>
      </w:r>
      <w:r w:rsidRPr="006A282F">
        <w:rPr>
          <w:rFonts w:ascii="Arial" w:hAnsi="Arial" w:cs="Arial"/>
          <w:b/>
          <w:sz w:val="22"/>
          <w:szCs w:val="22"/>
        </w:rPr>
        <w:t>.Рок извршења услуга</w:t>
      </w:r>
    </w:p>
    <w:p w:rsidR="006A282F" w:rsidRPr="006A282F" w:rsidRDefault="006A282F" w:rsidP="006A282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 xml:space="preserve">Услуга се врши у периоду од 12 месеци од дана потписивања уговора, према потребама Наручиоца. </w:t>
      </w:r>
    </w:p>
    <w:p w:rsidR="006A282F" w:rsidRPr="006A282F" w:rsidRDefault="006A282F" w:rsidP="006A282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2"/>
      <w:bookmarkStart w:id="2" w:name="_Toc442559880"/>
      <w:r w:rsidRPr="006A282F">
        <w:rPr>
          <w:rFonts w:ascii="Arial" w:hAnsi="Arial" w:cs="Arial"/>
          <w:b/>
          <w:sz w:val="22"/>
          <w:szCs w:val="22"/>
        </w:rPr>
        <w:t>3.</w:t>
      </w:r>
      <w:r w:rsidRPr="006A282F">
        <w:rPr>
          <w:rFonts w:ascii="Arial" w:hAnsi="Arial" w:cs="Arial"/>
          <w:b/>
          <w:sz w:val="22"/>
          <w:szCs w:val="22"/>
          <w:lang w:val="sr-Cyrl-RS"/>
        </w:rPr>
        <w:t>3</w:t>
      </w:r>
      <w:r w:rsidRPr="006A282F">
        <w:rPr>
          <w:rFonts w:ascii="Arial" w:hAnsi="Arial" w:cs="Arial"/>
          <w:b/>
          <w:sz w:val="22"/>
          <w:szCs w:val="22"/>
        </w:rPr>
        <w:t xml:space="preserve">.Место </w:t>
      </w:r>
      <w:bookmarkEnd w:id="1"/>
      <w:bookmarkEnd w:id="2"/>
      <w:r w:rsidRPr="006A282F">
        <w:rPr>
          <w:rFonts w:ascii="Arial" w:hAnsi="Arial" w:cs="Arial"/>
          <w:b/>
          <w:sz w:val="22"/>
          <w:szCs w:val="22"/>
        </w:rPr>
        <w:t>извршења услуга</w:t>
      </w:r>
    </w:p>
    <w:p w:rsidR="006A282F" w:rsidRPr="006A282F" w:rsidRDefault="006A282F" w:rsidP="006A282F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A282F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Локације ТЕНТ А, </w:t>
      </w:r>
      <w:r w:rsidRPr="006A282F">
        <w:rPr>
          <w:rFonts w:ascii="Arial" w:hAnsi="Arial" w:cs="Arial"/>
          <w:sz w:val="22"/>
          <w:szCs w:val="22"/>
          <w:lang w:val="en-US" w:eastAsia="en-US"/>
        </w:rPr>
        <w:t>Богољуба Урошевића Црног бр.44</w:t>
      </w:r>
      <w:r w:rsidRPr="006A282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6A282F">
        <w:rPr>
          <w:rFonts w:ascii="Arial" w:hAnsi="Arial" w:cs="Arial"/>
          <w:sz w:val="22"/>
          <w:szCs w:val="22"/>
          <w:lang w:val="en-US" w:eastAsia="en-US"/>
        </w:rPr>
        <w:t>11500 Обреновац</w:t>
      </w:r>
    </w:p>
    <w:p w:rsidR="006A282F" w:rsidRPr="006A282F" w:rsidRDefault="006A282F" w:rsidP="006A282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6A282F"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Локације ТЕНТ Б, 11509 Ушће</w:t>
      </w:r>
    </w:p>
    <w:p w:rsidR="006A282F" w:rsidRPr="006A282F" w:rsidRDefault="006A282F" w:rsidP="006A282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6A282F"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Локације ТЕ Колубара, 11563 Велики Црљени, Космајска бб</w:t>
      </w:r>
    </w:p>
    <w:p w:rsidR="006A282F" w:rsidRPr="006A282F" w:rsidRDefault="006A282F" w:rsidP="006A282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6A282F">
        <w:rPr>
          <w:rFonts w:ascii="Arial" w:hAnsi="Arial" w:cs="Arial"/>
          <w:color w:val="000000"/>
          <w:sz w:val="22"/>
          <w:szCs w:val="22"/>
          <w:lang w:val="sr-Cyrl-RS" w:eastAsia="zh-CN"/>
        </w:rPr>
        <w:t>Локације ТЕ Морава, 31250 Свилајнац, Кнеза Милоша бб</w:t>
      </w:r>
    </w:p>
    <w:p w:rsidR="006A282F" w:rsidRPr="006A282F" w:rsidRDefault="006A282F" w:rsidP="006A282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6A282F">
        <w:rPr>
          <w:rFonts w:ascii="Arial" w:hAnsi="Arial" w:cs="Arial"/>
          <w:b/>
          <w:sz w:val="22"/>
          <w:szCs w:val="22"/>
          <w:lang w:val="en-US"/>
        </w:rPr>
        <w:t>3.</w:t>
      </w:r>
      <w:r w:rsidRPr="006A282F">
        <w:rPr>
          <w:rFonts w:ascii="Arial" w:hAnsi="Arial" w:cs="Arial"/>
          <w:b/>
          <w:sz w:val="22"/>
          <w:szCs w:val="22"/>
          <w:lang w:val="sr-Cyrl-RS"/>
        </w:rPr>
        <w:t>4</w:t>
      </w:r>
      <w:r w:rsidRPr="006A282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6A282F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6A282F" w:rsidRPr="006A282F" w:rsidRDefault="006A282F" w:rsidP="006A282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A282F" w:rsidRPr="006A282F" w:rsidRDefault="006A282F" w:rsidP="006A282F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val="en-US" w:eastAsia="en-US"/>
        </w:rPr>
      </w:pPr>
      <w:r w:rsidRPr="006A282F">
        <w:rPr>
          <w:rFonts w:ascii="Arial" w:hAnsi="Arial"/>
          <w:sz w:val="22"/>
          <w:szCs w:val="22"/>
          <w:lang w:val="sr-Cyrl-RS" w:eastAsia="en-US"/>
        </w:rPr>
        <w:t>П</w:t>
      </w:r>
      <w:r w:rsidRPr="006A282F">
        <w:rPr>
          <w:rFonts w:ascii="Arial" w:hAnsi="Arial"/>
          <w:sz w:val="22"/>
          <w:szCs w:val="22"/>
          <w:lang w:val="en-US" w:eastAsia="en-US"/>
        </w:rPr>
        <w:t xml:space="preserve">о обављеном послу, Пружалац услуга доставља </w:t>
      </w:r>
      <w:r w:rsidRPr="006A282F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6A282F">
        <w:rPr>
          <w:rFonts w:ascii="Arial" w:hAnsi="Arial"/>
          <w:sz w:val="22"/>
          <w:szCs w:val="22"/>
          <w:lang w:val="en-US" w:eastAsia="en-US"/>
        </w:rPr>
        <w:t xml:space="preserve">. </w:t>
      </w:r>
      <w:r w:rsidRPr="006A282F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6A282F">
        <w:rPr>
          <w:rFonts w:ascii="Arial" w:hAnsi="Arial"/>
          <w:sz w:val="22"/>
          <w:szCs w:val="22"/>
          <w:lang w:val="en-US" w:eastAsia="en-US"/>
        </w:rPr>
        <w:t xml:space="preserve">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Пружаоцу услуга. </w:t>
      </w:r>
    </w:p>
    <w:p w:rsidR="006A282F" w:rsidRPr="006A282F" w:rsidRDefault="006A282F" w:rsidP="006A282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79646"/>
          <w:sz w:val="22"/>
          <w:szCs w:val="22"/>
          <w:lang w:val="en-US" w:eastAsia="en-US"/>
        </w:rPr>
      </w:pPr>
    </w:p>
    <w:p w:rsidR="006A282F" w:rsidRPr="006A282F" w:rsidRDefault="006A282F" w:rsidP="006A282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3" w:name="_Toc441651543"/>
      <w:bookmarkStart w:id="4" w:name="_Toc442559881"/>
      <w:r w:rsidRPr="006A282F">
        <w:rPr>
          <w:rFonts w:ascii="Arial" w:hAnsi="Arial" w:cs="Arial"/>
          <w:b/>
          <w:sz w:val="22"/>
          <w:szCs w:val="22"/>
          <w:lang w:val="en-US"/>
        </w:rPr>
        <w:t>3.</w:t>
      </w:r>
      <w:r w:rsidRPr="006A282F">
        <w:rPr>
          <w:rFonts w:ascii="Arial" w:hAnsi="Arial" w:cs="Arial"/>
          <w:b/>
          <w:sz w:val="22"/>
          <w:szCs w:val="22"/>
          <w:lang w:val="sr-Cyrl-RS"/>
        </w:rPr>
        <w:t>5</w:t>
      </w:r>
      <w:r w:rsidRPr="006A282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6A282F">
        <w:rPr>
          <w:rFonts w:ascii="Arial" w:hAnsi="Arial" w:cs="Arial"/>
          <w:b/>
          <w:sz w:val="22"/>
          <w:szCs w:val="22"/>
        </w:rPr>
        <w:t>Гарантни рок</w:t>
      </w:r>
      <w:bookmarkEnd w:id="3"/>
      <w:bookmarkEnd w:id="4"/>
    </w:p>
    <w:p w:rsidR="006A282F" w:rsidRPr="006A282F" w:rsidRDefault="006A282F" w:rsidP="006A282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Latn-RS" w:eastAsia="zh-CN"/>
        </w:rPr>
      </w:pPr>
      <w:r w:rsidRPr="006A282F">
        <w:rPr>
          <w:rFonts w:ascii="Arial" w:eastAsia="Calibri" w:hAnsi="Arial" w:cs="Arial"/>
          <w:sz w:val="22"/>
          <w:szCs w:val="22"/>
          <w:lang w:val="sr-Cyrl-RS" w:eastAsia="en-US"/>
        </w:rPr>
        <w:t>12 ( дванест ) месеци од дана извршења сервисирања.</w:t>
      </w:r>
    </w:p>
    <w:p w:rsidR="006A282F" w:rsidRPr="006A282F" w:rsidRDefault="006A282F" w:rsidP="006A282F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Latn-RS"/>
        </w:rPr>
      </w:pPr>
      <w:r w:rsidRPr="006A282F">
        <w:rPr>
          <w:rFonts w:ascii="Arial" w:hAnsi="Arial" w:cs="Arial"/>
          <w:b/>
          <w:sz w:val="22"/>
          <w:szCs w:val="22"/>
          <w:lang w:val="en-US"/>
        </w:rPr>
        <w:t>3.</w:t>
      </w:r>
      <w:r w:rsidRPr="006A282F">
        <w:rPr>
          <w:rFonts w:ascii="Arial" w:hAnsi="Arial" w:cs="Arial"/>
          <w:b/>
          <w:sz w:val="22"/>
          <w:szCs w:val="22"/>
          <w:lang w:val="sr-Cyrl-RS"/>
        </w:rPr>
        <w:t>6</w:t>
      </w:r>
      <w:r w:rsidRPr="006A282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6A282F">
        <w:rPr>
          <w:rFonts w:ascii="Arial" w:hAnsi="Arial" w:cs="Arial"/>
          <w:b/>
          <w:sz w:val="22"/>
          <w:szCs w:val="22"/>
        </w:rPr>
        <w:t>Плаћање</w:t>
      </w:r>
    </w:p>
    <w:p w:rsidR="006A282F" w:rsidRPr="006A282F" w:rsidRDefault="006A282F" w:rsidP="006A282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6A282F">
        <w:rPr>
          <w:rFonts w:ascii="Arial" w:hAnsi="Arial"/>
          <w:sz w:val="22"/>
          <w:szCs w:val="22"/>
          <w:lang w:val="en-US"/>
        </w:rPr>
        <w:t>Плаћање извршених услуга се врши у року до 45 дана од дана пријема исправне фактуре са уговореним прилозима (</w:t>
      </w:r>
      <w:r w:rsidRPr="006A282F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6A282F">
        <w:rPr>
          <w:rFonts w:ascii="Arial" w:hAnsi="Arial"/>
          <w:sz w:val="22"/>
          <w:szCs w:val="22"/>
          <w:lang w:val="en-US"/>
        </w:rPr>
        <w:t>).</w:t>
      </w:r>
    </w:p>
    <w:p w:rsidR="006A282F" w:rsidRPr="006A282F" w:rsidRDefault="006A282F" w:rsidP="006A282F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61029" w:rsidRDefault="003610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596EBF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</w:p>
    <w:p w:rsidR="00596EBF" w:rsidRPr="00596EBF" w:rsidRDefault="00596EBF" w:rsidP="00596EBF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96EBF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45"/>
        <w:gridCol w:w="855"/>
        <w:gridCol w:w="999"/>
        <w:gridCol w:w="1282"/>
        <w:gridCol w:w="1138"/>
        <w:gridCol w:w="1425"/>
        <w:gridCol w:w="1453"/>
      </w:tblGrid>
      <w:tr w:rsidR="00596EBF" w:rsidRPr="00596EBF" w:rsidTr="00596EBF">
        <w:tc>
          <w:tcPr>
            <w:tcW w:w="336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76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01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1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29" w:type="pct"/>
            <w:shd w:val="clear" w:color="auto" w:fill="C6D9F1"/>
            <w:vAlign w:val="center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96EBF" w:rsidRPr="00596EBF" w:rsidTr="00E661CB">
        <w:tc>
          <w:tcPr>
            <w:tcW w:w="336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76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01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3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1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15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29" w:type="pct"/>
            <w:shd w:val="clear" w:color="auto" w:fill="auto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6A282F" w:rsidRPr="00596EBF" w:rsidTr="000E6614">
        <w:trPr>
          <w:trHeight w:val="1244"/>
        </w:trPr>
        <w:tc>
          <w:tcPr>
            <w:tcW w:w="336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cs="Arial"/>
                <w:b/>
                <w:bCs/>
                <w:iCs/>
              </w:rPr>
            </w:pPr>
            <w:r w:rsidRPr="006A282F">
              <w:rPr>
                <w:rFonts w:cs="Arial"/>
                <w:b/>
                <w:bCs/>
                <w:iCs/>
              </w:rPr>
              <w:t>1.</w:t>
            </w:r>
          </w:p>
        </w:tc>
        <w:tc>
          <w:tcPr>
            <w:tcW w:w="1076" w:type="pct"/>
            <w:shd w:val="clear" w:color="auto" w:fill="auto"/>
          </w:tcPr>
          <w:p w:rsidR="006A282F" w:rsidRPr="000E6614" w:rsidRDefault="006A282F" w:rsidP="006A282F">
            <w:pPr>
              <w:rPr>
                <w:rFonts w:ascii="Arial" w:hAnsi="Arial" w:cs="Arial"/>
                <w:bCs/>
                <w:iCs/>
                <w:sz w:val="20"/>
              </w:rPr>
            </w:pPr>
            <w:r w:rsidRPr="000E6614">
              <w:rPr>
                <w:rFonts w:ascii="Arial" w:eastAsia="Calibri" w:hAnsi="Arial" w:cs="Arial"/>
                <w:sz w:val="20"/>
                <w:lang w:val="sr-Cyrl-RS"/>
              </w:rPr>
              <w:t>Преглед и контролу исправности алармних централа</w:t>
            </w:r>
            <w:r w:rsidR="000E6614" w:rsidRPr="000E6614">
              <w:rPr>
                <w:rFonts w:ascii="Arial" w:eastAsia="Calibri" w:hAnsi="Arial" w:cs="Arial"/>
                <w:sz w:val="20"/>
                <w:lang w:val="sr-Cyrl-RS"/>
              </w:rPr>
              <w:t xml:space="preserve"> (19х</w:t>
            </w:r>
            <w:r w:rsidR="00561FD1">
              <w:rPr>
                <w:rFonts w:ascii="Arial" w:eastAsia="Calibri" w:hAnsi="Arial" w:cs="Arial"/>
                <w:sz w:val="20"/>
                <w:lang w:val="sr-Latn-RS"/>
              </w:rPr>
              <w:t>4</w:t>
            </w:r>
            <w:r w:rsidR="000E6614" w:rsidRPr="000E6614">
              <w:rPr>
                <w:rFonts w:ascii="Arial" w:eastAsia="Calibri" w:hAnsi="Arial" w:cs="Arial"/>
                <w:sz w:val="20"/>
                <w:lang w:val="sr-Cyrl-R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ком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A282F" w:rsidRPr="005C194B" w:rsidRDefault="006A282F" w:rsidP="006A282F">
            <w:pPr>
              <w:jc w:val="center"/>
              <w:rPr>
                <w:rFonts w:cs="Arial"/>
                <w:b/>
                <w:bCs/>
                <w:iCs/>
                <w:color w:val="1F497D"/>
              </w:rPr>
            </w:pPr>
          </w:p>
        </w:tc>
      </w:tr>
      <w:tr w:rsidR="006A282F" w:rsidRPr="00596EBF" w:rsidTr="00341710">
        <w:tc>
          <w:tcPr>
            <w:tcW w:w="336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cs="Arial"/>
                <w:b/>
                <w:bCs/>
                <w:iCs/>
              </w:rPr>
            </w:pPr>
            <w:r w:rsidRPr="006A282F"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1076" w:type="pct"/>
            <w:shd w:val="clear" w:color="auto" w:fill="auto"/>
          </w:tcPr>
          <w:p w:rsidR="006A282F" w:rsidRPr="000E6614" w:rsidRDefault="006A282F" w:rsidP="006A282F">
            <w:pPr>
              <w:rPr>
                <w:rFonts w:ascii="Arial" w:hAnsi="Arial" w:cs="Arial"/>
                <w:sz w:val="20"/>
                <w:lang w:val="sr-Cyrl-RS"/>
              </w:rPr>
            </w:pPr>
            <w:r w:rsidRPr="000E6614">
              <w:rPr>
                <w:rFonts w:ascii="Arial" w:eastAsia="Calibri" w:hAnsi="Arial" w:cs="Arial"/>
                <w:sz w:val="20"/>
                <w:lang w:val="sr-Cyrl-RS"/>
              </w:rPr>
              <w:t>Контролу и чишћење од прашине сензора</w:t>
            </w:r>
            <w:r w:rsidR="000E6614" w:rsidRPr="000E6614">
              <w:rPr>
                <w:rFonts w:ascii="Arial" w:eastAsia="Calibri" w:hAnsi="Arial" w:cs="Arial"/>
                <w:sz w:val="20"/>
                <w:lang w:val="sr-Cyrl-RS"/>
              </w:rPr>
              <w:t xml:space="preserve"> (132х4)</w:t>
            </w:r>
          </w:p>
        </w:tc>
        <w:tc>
          <w:tcPr>
            <w:tcW w:w="429" w:type="pct"/>
            <w:shd w:val="clear" w:color="auto" w:fill="auto"/>
          </w:tcPr>
          <w:p w:rsidR="006A282F" w:rsidRPr="006A282F" w:rsidRDefault="006A282F" w:rsidP="006A282F">
            <w:pPr>
              <w:rPr>
                <w:rFonts w:ascii="Arial" w:hAnsi="Arial" w:cs="Arial"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ком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528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A282F" w:rsidRPr="005C194B" w:rsidRDefault="006A282F" w:rsidP="006A282F">
            <w:pPr>
              <w:jc w:val="center"/>
              <w:rPr>
                <w:rFonts w:cs="Arial"/>
                <w:b/>
                <w:bCs/>
                <w:iCs/>
                <w:color w:val="1F497D"/>
              </w:rPr>
            </w:pPr>
          </w:p>
        </w:tc>
      </w:tr>
      <w:tr w:rsidR="006A282F" w:rsidRPr="00596EBF" w:rsidTr="00341710">
        <w:tc>
          <w:tcPr>
            <w:tcW w:w="336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cs="Arial"/>
                <w:b/>
                <w:bCs/>
                <w:iCs/>
              </w:rPr>
            </w:pPr>
            <w:r w:rsidRPr="006A282F">
              <w:rPr>
                <w:rFonts w:cs="Arial"/>
                <w:b/>
                <w:bCs/>
                <w:iCs/>
              </w:rPr>
              <w:t>3.</w:t>
            </w:r>
          </w:p>
        </w:tc>
        <w:tc>
          <w:tcPr>
            <w:tcW w:w="1076" w:type="pct"/>
            <w:shd w:val="clear" w:color="auto" w:fill="auto"/>
          </w:tcPr>
          <w:p w:rsidR="006A282F" w:rsidRPr="000E6614" w:rsidRDefault="006A282F" w:rsidP="006A282F">
            <w:pPr>
              <w:rPr>
                <w:rFonts w:ascii="Arial" w:hAnsi="Arial" w:cs="Arial"/>
                <w:sz w:val="20"/>
                <w:lang w:val="sr-Cyrl-RS"/>
              </w:rPr>
            </w:pPr>
            <w:r w:rsidRPr="000E6614">
              <w:rPr>
                <w:rFonts w:ascii="Arial" w:eastAsia="Calibri" w:hAnsi="Arial" w:cs="Arial"/>
                <w:sz w:val="20"/>
                <w:lang w:val="sr-Cyrl-RS"/>
              </w:rPr>
              <w:t>Преглед и контролу исправности  баријере</w:t>
            </w:r>
            <w:r w:rsidR="000E6614" w:rsidRPr="000E6614">
              <w:rPr>
                <w:rFonts w:ascii="Arial" w:eastAsia="Calibri" w:hAnsi="Arial" w:cs="Arial"/>
                <w:sz w:val="20"/>
                <w:lang w:val="sr-Cyrl-RS"/>
              </w:rPr>
              <w:t xml:space="preserve"> (2х4)</w:t>
            </w:r>
          </w:p>
        </w:tc>
        <w:tc>
          <w:tcPr>
            <w:tcW w:w="429" w:type="pct"/>
            <w:shd w:val="clear" w:color="auto" w:fill="auto"/>
          </w:tcPr>
          <w:p w:rsidR="006A282F" w:rsidRPr="006A282F" w:rsidRDefault="006A282F" w:rsidP="006A282F">
            <w:pPr>
              <w:rPr>
                <w:rFonts w:ascii="Arial" w:hAnsi="Arial" w:cs="Arial"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ком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A282F" w:rsidRPr="005C194B" w:rsidRDefault="006A282F" w:rsidP="006A282F">
            <w:pPr>
              <w:jc w:val="center"/>
              <w:rPr>
                <w:rFonts w:cs="Arial"/>
                <w:b/>
                <w:bCs/>
                <w:iCs/>
                <w:color w:val="1F497D"/>
              </w:rPr>
            </w:pPr>
          </w:p>
        </w:tc>
      </w:tr>
      <w:tr w:rsidR="006A282F" w:rsidRPr="00596EBF" w:rsidTr="00E661CB">
        <w:tc>
          <w:tcPr>
            <w:tcW w:w="336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cs="Arial"/>
                <w:b/>
                <w:bCs/>
                <w:iCs/>
              </w:rPr>
            </w:pPr>
            <w:r w:rsidRPr="006A282F">
              <w:rPr>
                <w:rFonts w:cs="Arial"/>
                <w:b/>
                <w:bCs/>
                <w:iCs/>
              </w:rPr>
              <w:t>4.</w:t>
            </w:r>
          </w:p>
        </w:tc>
        <w:tc>
          <w:tcPr>
            <w:tcW w:w="1076" w:type="pct"/>
            <w:shd w:val="clear" w:color="auto" w:fill="auto"/>
          </w:tcPr>
          <w:p w:rsidR="006A282F" w:rsidRPr="000E6614" w:rsidRDefault="006A282F" w:rsidP="006A282F">
            <w:pPr>
              <w:tabs>
                <w:tab w:val="left" w:pos="189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lang w:val="sr-Cyrl-RS"/>
              </w:rPr>
            </w:pPr>
            <w:r w:rsidRPr="000E6614">
              <w:rPr>
                <w:rFonts w:ascii="Arial" w:eastAsia="Calibri" w:hAnsi="Arial" w:cs="Arial"/>
                <w:sz w:val="20"/>
                <w:lang w:val="sr-Cyrl-RS"/>
              </w:rPr>
              <w:t>Контролу и подешавање  система за пуњење акумулатора алармних централа.</w:t>
            </w:r>
            <w:r w:rsidR="000E6614" w:rsidRPr="000E6614">
              <w:rPr>
                <w:rFonts w:ascii="Arial" w:eastAsia="Calibri" w:hAnsi="Arial" w:cs="Arial"/>
                <w:sz w:val="20"/>
                <w:lang w:val="sr-Cyrl-RS"/>
              </w:rPr>
              <w:t xml:space="preserve"> (19х4)</w:t>
            </w:r>
          </w:p>
        </w:tc>
        <w:tc>
          <w:tcPr>
            <w:tcW w:w="429" w:type="pct"/>
            <w:shd w:val="clear" w:color="auto" w:fill="auto"/>
          </w:tcPr>
          <w:p w:rsidR="006A282F" w:rsidRPr="006A282F" w:rsidRDefault="006A282F" w:rsidP="006A282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A282F" w:rsidRPr="006A282F" w:rsidRDefault="006A282F" w:rsidP="006A282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A282F" w:rsidRPr="006A282F" w:rsidRDefault="006A282F" w:rsidP="006A282F">
            <w:pPr>
              <w:rPr>
                <w:rFonts w:ascii="Arial" w:hAnsi="Arial" w:cs="Arial"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ком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A282F" w:rsidRPr="005C194B" w:rsidRDefault="006A282F" w:rsidP="006A282F">
            <w:pPr>
              <w:jc w:val="center"/>
              <w:rPr>
                <w:rFonts w:cs="Arial"/>
                <w:b/>
                <w:bCs/>
                <w:iCs/>
                <w:color w:val="1F497D"/>
              </w:rPr>
            </w:pPr>
          </w:p>
        </w:tc>
      </w:tr>
      <w:tr w:rsidR="006A282F" w:rsidRPr="00596EBF" w:rsidTr="00361029">
        <w:trPr>
          <w:trHeight w:val="1051"/>
        </w:trPr>
        <w:tc>
          <w:tcPr>
            <w:tcW w:w="336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cs="Arial"/>
                <w:b/>
                <w:bCs/>
                <w:iCs/>
              </w:rPr>
            </w:pPr>
            <w:r w:rsidRPr="006A282F">
              <w:rPr>
                <w:rFonts w:cs="Arial"/>
                <w:b/>
                <w:bCs/>
                <w:iCs/>
              </w:rPr>
              <w:t>5.</w:t>
            </w:r>
          </w:p>
        </w:tc>
        <w:tc>
          <w:tcPr>
            <w:tcW w:w="1076" w:type="pct"/>
            <w:shd w:val="clear" w:color="auto" w:fill="auto"/>
          </w:tcPr>
          <w:p w:rsidR="006A282F" w:rsidRPr="000E6614" w:rsidRDefault="006A282F" w:rsidP="006A282F">
            <w:pPr>
              <w:tabs>
                <w:tab w:val="left" w:pos="189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lang w:val="sr-Cyrl-RS"/>
              </w:rPr>
            </w:pPr>
            <w:r w:rsidRPr="000E6614">
              <w:rPr>
                <w:rFonts w:ascii="Arial" w:eastAsia="Calibri" w:hAnsi="Arial" w:cs="Arial"/>
                <w:sz w:val="20"/>
                <w:lang w:val="sr-Cyrl-RS"/>
              </w:rPr>
              <w:t>Резервни делови</w:t>
            </w:r>
            <w:r w:rsidR="000E6614" w:rsidRPr="000E6614">
              <w:rPr>
                <w:rFonts w:ascii="Arial" w:eastAsia="Calibri" w:hAnsi="Arial" w:cs="Arial"/>
                <w:sz w:val="20"/>
                <w:lang w:val="sr-Latn-RS"/>
              </w:rPr>
              <w:t xml:space="preserve"> </w:t>
            </w:r>
            <w:r w:rsidR="000E6614" w:rsidRPr="000E6614">
              <w:rPr>
                <w:rFonts w:ascii="Arial" w:eastAsia="Calibri" w:hAnsi="Arial" w:cs="Arial"/>
                <w:sz w:val="20"/>
                <w:lang w:val="sr-Cyrl-RS"/>
              </w:rPr>
              <w:t>са уградњом и корективно одржавање</w:t>
            </w:r>
          </w:p>
        </w:tc>
        <w:tc>
          <w:tcPr>
            <w:tcW w:w="429" w:type="pct"/>
            <w:shd w:val="clear" w:color="auto" w:fill="auto"/>
          </w:tcPr>
          <w:p w:rsidR="006A282F" w:rsidRPr="006A282F" w:rsidRDefault="006A282F" w:rsidP="006A282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A282F" w:rsidRPr="006A282F" w:rsidRDefault="006A282F" w:rsidP="006A282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6A282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190.000,00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A282F" w:rsidRPr="005C194B" w:rsidRDefault="006A282F" w:rsidP="006A282F">
            <w:pPr>
              <w:jc w:val="center"/>
              <w:rPr>
                <w:rFonts w:cs="Arial"/>
                <w:bCs/>
                <w:iCs/>
                <w:color w:val="1F497D"/>
                <w:lang w:val="sr-Cyrl-RS"/>
              </w:rPr>
            </w:pPr>
          </w:p>
        </w:tc>
      </w:tr>
    </w:tbl>
    <w:p w:rsidR="00596EBF" w:rsidRPr="00596EBF" w:rsidRDefault="00596EBF" w:rsidP="00596EBF">
      <w:pPr>
        <w:rPr>
          <w:vanish/>
        </w:rPr>
      </w:pP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Pr="00596EBF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61029" w:rsidRPr="00361029" w:rsidTr="00E661CB">
        <w:trPr>
          <w:trHeight w:val="418"/>
        </w:trPr>
        <w:tc>
          <w:tcPr>
            <w:tcW w:w="568" w:type="dxa"/>
            <w:vAlign w:val="center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36102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</w:tcPr>
          <w:p w:rsidR="00361029" w:rsidRPr="00361029" w:rsidRDefault="00361029" w:rsidP="0036102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61029" w:rsidRPr="00361029" w:rsidTr="00E661C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36102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61029" w:rsidRPr="00361029" w:rsidTr="00E661C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361029" w:rsidRPr="00361029" w:rsidRDefault="00361029" w:rsidP="0036102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610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36102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61029" w:rsidRPr="00361029" w:rsidRDefault="00361029" w:rsidP="0036102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361029" w:rsidRDefault="00361029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0E6614" w:rsidRDefault="000E6614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0E6614" w:rsidRPr="00596EBF" w:rsidRDefault="000E6614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596EBF">
        <w:rPr>
          <w:rFonts w:ascii="Arial" w:eastAsia="Arial Unicode MS" w:hAnsi="Arial" w:cs="Arial"/>
          <w:sz w:val="22"/>
          <w:szCs w:val="22"/>
          <w:lang w:val="en-US" w:eastAsia="en-US"/>
        </w:rPr>
        <w:lastRenderedPageBreak/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96EBF" w:rsidRPr="00596EBF" w:rsidTr="00E661CB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</w:t>
            </w:r>
            <w:r w:rsidR="0036102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но исказани трошкови у дин/ 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96EBF" w:rsidRPr="00596EBF" w:rsidTr="00E661C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96EBF" w:rsidRPr="00596EBF" w:rsidTr="00E661CB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BF" w:rsidRPr="00596EBF" w:rsidRDefault="00596EBF" w:rsidP="00596EBF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596EB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596EBF" w:rsidRPr="00596EBF" w:rsidRDefault="00596EBF" w:rsidP="00596EBF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BF" w:rsidRPr="00596EBF" w:rsidTr="00E661CB">
        <w:trPr>
          <w:jc w:val="center"/>
        </w:trPr>
        <w:tc>
          <w:tcPr>
            <w:tcW w:w="388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6EB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596EB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96EBF" w:rsidRPr="00596EBF" w:rsidTr="00E661CB">
        <w:trPr>
          <w:jc w:val="center"/>
        </w:trPr>
        <w:tc>
          <w:tcPr>
            <w:tcW w:w="388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96EB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96EBF" w:rsidRPr="00596EBF" w:rsidTr="00E661C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96EBF" w:rsidRPr="00596EBF" w:rsidTr="00E661C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96EBF" w:rsidRPr="00596EBF" w:rsidRDefault="00596EBF" w:rsidP="00596E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96EBF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96EBF" w:rsidRPr="00596EBF" w:rsidRDefault="00596EBF" w:rsidP="00596EB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96EB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96EB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B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96EBF" w:rsidRPr="00596EBF" w:rsidRDefault="00596EBF" w:rsidP="00596EB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96EBF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96EB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96EBF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596EBF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96EBF" w:rsidRPr="00596EBF" w:rsidRDefault="00596EBF" w:rsidP="00596EB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96EBF" w:rsidRPr="00596EBF" w:rsidRDefault="00596EBF" w:rsidP="00596EB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596EB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96E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(збирколоне бр. </w:t>
      </w:r>
      <w:r w:rsidRPr="00596EBF">
        <w:rPr>
          <w:rFonts w:ascii="Arial" w:hAnsi="Arial" w:cs="Arial"/>
          <w:sz w:val="22"/>
          <w:szCs w:val="22"/>
          <w:lang w:val="sr-Cyrl-RS" w:eastAsia="en-US"/>
        </w:rPr>
        <w:t>7</w:t>
      </w:r>
      <w:r w:rsidRPr="00596EBF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596EBF" w:rsidRPr="00596EBF" w:rsidRDefault="00596EBF" w:rsidP="00596EBF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96EBF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596EBF">
        <w:rPr>
          <w:rFonts w:ascii="Arial" w:hAnsi="Arial" w:cs="Arial"/>
          <w:color w:val="000000"/>
          <w:sz w:val="22"/>
          <w:szCs w:val="22"/>
          <w:lang w:val="en-US" w:eastAsia="en-US"/>
        </w:rPr>
        <w:t>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596EBF" w:rsidRPr="00596EBF" w:rsidRDefault="00596EBF" w:rsidP="00596EB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96EBF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96EBF" w:rsidRPr="00596EBF" w:rsidRDefault="00596EB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596EBF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 xml:space="preserve">*У складу са чл. 12. ст. 2. </w:t>
      </w:r>
      <w:r w:rsidRPr="00596EBF">
        <w:rPr>
          <w:rFonts w:ascii="Arial" w:eastAsia="TimesNewRomanPSMT" w:hAnsi="Arial" w:cs="Arial"/>
          <w:color w:val="000000"/>
          <w:sz w:val="22"/>
          <w:szCs w:val="22"/>
          <w:lang w:val="en-US" w:eastAsia="en-US"/>
        </w:rPr>
        <w:t>Правилника о обавезним елементима конкурсне документације у поступцима јавних набавки и начину доказивања испуњености услова,</w:t>
      </w:r>
      <w:r w:rsidRPr="00596EBF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 xml:space="preserve"> сматраће се да је сачињен образац структуре цене, уколико су основни елементи понуђене цене садржани у обрасцу понуде. У том случају наручилац не би имао обавезу да припрема посебан образац структуре цене</w:t>
      </w:r>
    </w:p>
    <w:sectPr w:rsidR="00596EBF" w:rsidRPr="00596EB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41" w:rsidRDefault="006A6241" w:rsidP="00F717AF">
      <w:r>
        <w:separator/>
      </w:r>
    </w:p>
  </w:endnote>
  <w:endnote w:type="continuationSeparator" w:id="0">
    <w:p w:rsidR="006A6241" w:rsidRDefault="006A624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6A282F" w:rsidRPr="006A282F" w:rsidRDefault="00C6690C" w:rsidP="006A282F">
    <w:pPr>
      <w:jc w:val="center"/>
      <w:rPr>
        <w:rFonts w:ascii="Arial" w:hAnsi="Arial" w:cs="Arial"/>
        <w:b/>
        <w:sz w:val="22"/>
        <w:szCs w:val="22"/>
        <w:lang w:val="en-U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A282F" w:rsidRPr="006A282F">
      <w:rPr>
        <w:rFonts w:ascii="Arial" w:hAnsi="Arial" w:cs="Arial"/>
        <w:b/>
        <w:sz w:val="22"/>
        <w:szCs w:val="22"/>
        <w:lang w:val="en-US" w:eastAsia="en-US"/>
      </w:rPr>
      <w:t>3000/1801/2016 (1263/2016)</w:t>
    </w:r>
  </w:p>
  <w:p w:rsidR="00E208AE" w:rsidRDefault="00E208AE" w:rsidP="005403F3">
    <w:pPr>
      <w:pStyle w:val="Footer"/>
      <w:tabs>
        <w:tab w:val="left" w:pos="3431"/>
        <w:tab w:val="right" w:pos="9074"/>
      </w:tabs>
      <w:jc w:val="center"/>
      <w:rPr>
        <w:rFonts w:cs="Arial"/>
        <w:b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F38BA">
      <w:rPr>
        <w:i/>
        <w:sz w:val="20"/>
      </w:rPr>
      <w:t xml:space="preserve"> </w:t>
    </w:r>
    <w:r w:rsidR="00E208AE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D4CF2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D4CF2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41" w:rsidRDefault="006A6241" w:rsidP="00F717AF">
      <w:r>
        <w:separator/>
      </w:r>
    </w:p>
  </w:footnote>
  <w:footnote w:type="continuationSeparator" w:id="0">
    <w:p w:rsidR="006A6241" w:rsidRDefault="006A624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A62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D4CF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D4CF2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86899"/>
    <w:multiLevelType w:val="hybridMultilevel"/>
    <w:tmpl w:val="45E6E026"/>
    <w:lvl w:ilvl="0" w:tplc="ADC03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5A8C"/>
    <w:multiLevelType w:val="hybridMultilevel"/>
    <w:tmpl w:val="683C320A"/>
    <w:lvl w:ilvl="0" w:tplc="1E3C436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3836"/>
    <w:multiLevelType w:val="hybridMultilevel"/>
    <w:tmpl w:val="44C236AE"/>
    <w:lvl w:ilvl="0" w:tplc="7458E518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/>
      </w:rPr>
    </w:lvl>
    <w:lvl w:ilvl="1" w:tplc="241A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720A625C">
      <w:start w:val="1"/>
      <w:numFmt w:val="bullet"/>
      <w:lvlText w:val="-"/>
      <w:lvlJc w:val="left"/>
      <w:pPr>
        <w:ind w:left="1980" w:hanging="180"/>
      </w:pPr>
      <w:rPr>
        <w:rFonts w:ascii="Times New Roman" w:eastAsia="Calibri" w:hAnsi="Times New Roman" w:cs="Times New Roman" w:hint="default"/>
        <w:sz w:val="16"/>
        <w:szCs w:val="16"/>
      </w:rPr>
    </w:lvl>
    <w:lvl w:ilvl="3" w:tplc="720A625C">
      <w:start w:val="1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6385F23"/>
    <w:multiLevelType w:val="hybridMultilevel"/>
    <w:tmpl w:val="5A04E036"/>
    <w:lvl w:ilvl="0" w:tplc="9F087790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661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029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014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1FD1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6EBF"/>
    <w:rsid w:val="005A2983"/>
    <w:rsid w:val="005A5724"/>
    <w:rsid w:val="005B3FA2"/>
    <w:rsid w:val="005B621D"/>
    <w:rsid w:val="005C194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282F"/>
    <w:rsid w:val="006A48F1"/>
    <w:rsid w:val="006A5109"/>
    <w:rsid w:val="006A624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4CF2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763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392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08AE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31</cp:revision>
  <cp:lastPrinted>2016-09-29T10:41:00Z</cp:lastPrinted>
  <dcterms:created xsi:type="dcterms:W3CDTF">2015-07-01T14:16:00Z</dcterms:created>
  <dcterms:modified xsi:type="dcterms:W3CDTF">2016-09-29T11:52:00Z</dcterms:modified>
</cp:coreProperties>
</file>