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569248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37DB7BC" wp14:editId="38FE8BC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527747" w:rsidRPr="00E44BB4" w:rsidRDefault="00527747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133E2" w:rsidRDefault="00F133E2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0225" w:rsidRDefault="001D07F7" w:rsidP="00BA7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1: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42DA6" w:rsidRPr="00B42DA6">
        <w:rPr>
          <w:rFonts w:ascii="Arial" w:eastAsia="Times New Roman" w:hAnsi="Arial" w:cs="Arial"/>
          <w:sz w:val="24"/>
          <w:szCs w:val="24"/>
          <w:lang w:val="sr-Cyrl-RS"/>
        </w:rPr>
        <w:t>Како у тендерској документацији нигдје не постоји датум почетка и завршетка ремонта (зна се само крајњи рок испоруке резервних дијелова за дан 01.08.2014.), молимо да нам наведете датум почетка радова.</w:t>
      </w:r>
    </w:p>
    <w:p w:rsidR="00346747" w:rsidRDefault="00346747" w:rsidP="00BA7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46747" w:rsidRDefault="00346747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 xml:space="preserve"> Датумом почетка радова сматра се дан заустављања блока за ремонт-20.јун 2014. Године</w:t>
      </w:r>
    </w:p>
    <w:p w:rsidR="005635D6" w:rsidRPr="00B42DA6" w:rsidRDefault="00B42DA6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42D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Питање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B42DA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Pr="00B42DA6">
        <w:t xml:space="preserve"> </w:t>
      </w:r>
      <w:r w:rsidRPr="00B42DA6">
        <w:rPr>
          <w:rFonts w:ascii="Arial" w:eastAsia="Times New Roman" w:hAnsi="Arial" w:cs="Arial"/>
          <w:sz w:val="24"/>
          <w:szCs w:val="24"/>
          <w:lang w:val="sr-Cyrl-RS"/>
        </w:rPr>
        <w:t>Према тендерској документацији, Извођач нема у обавези демонтажу и монтажу изолације турбине (то је обавеза ТЕНТ А), док се за поправак даје вријеме од 100 дана. Захтијевамо да нам наведете колико времена је предвиђено за хлађење турбине, такође и колико времена је планирано за демонтажу и монтажу изолације. Ови подаци су уобичајено потребни за стварање поузданог распореда који је обавезан прилог понуди.</w:t>
      </w:r>
    </w:p>
    <w:p w:rsidR="00346747" w:rsidRDefault="00346747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>Одговор 2: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 xml:space="preserve"> Време трајања радова је 100 дана почевши од датума почетка радова. Време неопходно за хлађење турбине и демонтажу турбинске изолације је 12 дана од дана заустављања турбине (20.јун). Време потребно за монтажу турбинске изолације и ,,</w:t>
      </w:r>
      <w:r w:rsidR="00F849FE" w:rsidRPr="00F849FE">
        <w:t xml:space="preserve"> </w:t>
      </w:r>
      <w:r w:rsidR="00F849FE" w:rsidRPr="00F849FE">
        <w:rPr>
          <w:rFonts w:ascii="Arial" w:eastAsia="Times New Roman" w:hAnsi="Arial" w:cs="Arial"/>
          <w:sz w:val="24"/>
          <w:szCs w:val="24"/>
          <w:lang w:val="sr-Cyrl-RS"/>
        </w:rPr>
        <w:t xml:space="preserve">hladan commissioning’’ 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 xml:space="preserve">износи 15 дана, тј сви радови ремонтни радови на турбини морају бити завршени 15 дана пре термина завршетка радова. </w:t>
      </w:r>
    </w:p>
    <w:p w:rsidR="005635D6" w:rsidRPr="00B42DA6" w:rsidRDefault="00B42DA6" w:rsidP="003467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42D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Питање </w:t>
      </w:r>
      <w:r w:rsidRPr="00B42DA6">
        <w:rPr>
          <w:rFonts w:ascii="Arial" w:eastAsia="Times New Roman" w:hAnsi="Arial" w:cs="Arial"/>
          <w:b/>
          <w:sz w:val="24"/>
          <w:szCs w:val="24"/>
        </w:rPr>
        <w:t>3</w:t>
      </w:r>
      <w:r w:rsidRPr="00B42DA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Pr="00B42DA6">
        <w:t xml:space="preserve"> </w:t>
      </w:r>
      <w:r w:rsidRPr="00B42DA6">
        <w:rPr>
          <w:rFonts w:ascii="Arial" w:eastAsia="Times New Roman" w:hAnsi="Arial" w:cs="Arial"/>
          <w:sz w:val="24"/>
          <w:szCs w:val="24"/>
          <w:lang w:val="sr-Cyrl-RS"/>
        </w:rPr>
        <w:t>Што се тиче услуге “процјене преосталог радног века турбоагрегата”, молимо вас да дате јасне и недвосмислене границе онога што спада у дјелокруг процјене компонената турбине. Да ли опсег процјене укључује и цјевовод, ако је тако , наведите тачно шта, односно који дио цјевовода. Да ли дјелокруг укључује уклањање пукотина на тијелу вентила и кућишту турбине, односно које видове санације пукотина, уколико се исте препознају прииком инспекције?</w:t>
      </w:r>
    </w:p>
    <w:p w:rsidR="00346747" w:rsidRDefault="00346747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Одговор </w:t>
      </w:r>
      <w:r w:rsidR="005635D6"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Границе постројења које подлежу испитивању за процену преосталог радног века турбине подразумевају пароупусне пароводе турбина високог и средњег притиска са припадајућим регулационим вентилима (кућишта и тела вентила), турбину у ужем смислу, као и кућишта и тела стоп и заштитних вентила. Испитивања преструјних паровода турбине високог притиска (од стоп вентила до регулационих вентила) и турбине средњег притиска (од заштитних вентила до регулационих вентила), као испитивања и паровода турбинских 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одузимања и паровода топлификације нису предмет процене преосталог радног века турбине. На бази налаза добијених испитивањима, понуђач је у обавези да предложи вид санације за сваки од детектованих налаза, а санација истих је обавеза наручиоца.</w:t>
      </w:r>
    </w:p>
    <w:p w:rsidR="001873F8" w:rsidRDefault="001873F8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2DA6" w:rsidRPr="00B42DA6" w:rsidRDefault="00B42DA6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DA6">
        <w:rPr>
          <w:rFonts w:ascii="Arial" w:eastAsia="Times New Roman" w:hAnsi="Arial" w:cs="Arial"/>
          <w:b/>
          <w:sz w:val="24"/>
          <w:szCs w:val="24"/>
        </w:rPr>
        <w:t>Питање 4:</w:t>
      </w:r>
      <w:r w:rsidRPr="00B42DA6">
        <w:t xml:space="preserve"> </w:t>
      </w:r>
      <w:r w:rsidRPr="00B42DA6">
        <w:rPr>
          <w:rFonts w:ascii="Arial" w:eastAsia="Times New Roman" w:hAnsi="Arial" w:cs="Arial"/>
          <w:sz w:val="24"/>
          <w:szCs w:val="24"/>
        </w:rPr>
        <w:t xml:space="preserve">На страни 18/89 тендерске документације у тачци 3.20 у трећем пасусу стоји “Када понуђач достави доказ да нуди добра домаћег пориијекла….”. Молимо да нам недвосмислено одговорите шта представља доказ да је предметна </w:t>
      </w:r>
      <w:r w:rsidRPr="00F849FE">
        <w:rPr>
          <w:rFonts w:ascii="Arial" w:eastAsia="Times New Roman" w:hAnsi="Arial" w:cs="Arial"/>
          <w:sz w:val="24"/>
          <w:szCs w:val="24"/>
        </w:rPr>
        <w:t xml:space="preserve">опрема домаћег поријекла. </w:t>
      </w:r>
      <w:r w:rsidRPr="00B42DA6">
        <w:rPr>
          <w:rFonts w:ascii="Arial" w:eastAsia="Times New Roman" w:hAnsi="Arial" w:cs="Arial"/>
          <w:sz w:val="24"/>
          <w:szCs w:val="24"/>
        </w:rPr>
        <w:t>Није нам познато да се у овом тренутку у Р Србији производи сва предметна опрема по овом тендер.</w:t>
      </w:r>
    </w:p>
    <w:p w:rsidR="00346747" w:rsidRPr="00F849FE" w:rsidRDefault="00346747" w:rsidP="00BA7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6747" w:rsidRPr="00F849FE" w:rsidRDefault="001D07F7" w:rsidP="007E2C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Одговор </w:t>
      </w:r>
      <w:r w:rsidR="005635D6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="003467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7E2C53" w:rsidRPr="007E2C53">
        <w:rPr>
          <w:rFonts w:ascii="Arial" w:eastAsia="Times New Roman" w:hAnsi="Arial" w:cs="Arial"/>
          <w:sz w:val="24"/>
          <w:szCs w:val="24"/>
          <w:lang w:val="sr-Cyrl-RS"/>
        </w:rPr>
        <w:t>Доказ који</w:t>
      </w:r>
      <w:r w:rsidR="003467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7E2C53" w:rsidRPr="007E2C53">
        <w:rPr>
          <w:rFonts w:ascii="Arial" w:eastAsia="Times New Roman" w:hAnsi="Arial" w:cs="Arial"/>
          <w:sz w:val="24"/>
          <w:szCs w:val="24"/>
          <w:lang w:val="sr-Cyrl-RS"/>
        </w:rPr>
        <w:t xml:space="preserve">је потребно доставити је </w:t>
      </w:r>
      <w:r w:rsidR="00F849FE">
        <w:rPr>
          <w:rFonts w:ascii="Arial" w:eastAsia="Times New Roman" w:hAnsi="Arial" w:cs="Arial"/>
          <w:sz w:val="24"/>
          <w:szCs w:val="24"/>
          <w:lang w:val="sr-Cyrl-RS"/>
        </w:rPr>
        <w:t>уверење</w:t>
      </w:r>
      <w:r w:rsidR="001873F8">
        <w:rPr>
          <w:rFonts w:ascii="Arial" w:eastAsia="Times New Roman" w:hAnsi="Arial" w:cs="Arial"/>
          <w:sz w:val="24"/>
          <w:szCs w:val="24"/>
          <w:lang w:val="sr-Cyrl-RS"/>
        </w:rPr>
        <w:t xml:space="preserve"> о домаћем пореклу робе </w:t>
      </w:r>
      <w:r w:rsidR="00F849FE">
        <w:rPr>
          <w:rFonts w:ascii="Arial" w:eastAsia="Times New Roman" w:hAnsi="Arial" w:cs="Arial"/>
          <w:sz w:val="24"/>
          <w:szCs w:val="24"/>
          <w:lang w:val="sr-Cyrl-RS"/>
        </w:rPr>
        <w:t xml:space="preserve"> које издаје </w:t>
      </w:r>
      <w:r w:rsidR="001873F8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F849FE">
        <w:rPr>
          <w:rFonts w:ascii="Arial" w:eastAsia="Times New Roman" w:hAnsi="Arial" w:cs="Arial"/>
          <w:sz w:val="24"/>
          <w:szCs w:val="24"/>
          <w:lang w:val="sr-Cyrl-RS"/>
        </w:rPr>
        <w:t>рив</w:t>
      </w:r>
      <w:r w:rsidR="001873F8">
        <w:rPr>
          <w:rFonts w:ascii="Arial" w:eastAsia="Times New Roman" w:hAnsi="Arial" w:cs="Arial"/>
          <w:sz w:val="24"/>
          <w:szCs w:val="24"/>
          <w:lang w:val="sr-Cyrl-RS"/>
        </w:rPr>
        <w:t>редна комора Србије.</w:t>
      </w:r>
    </w:p>
    <w:p w:rsidR="00346747" w:rsidRDefault="00346747" w:rsidP="00346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6747">
        <w:rPr>
          <w:rFonts w:ascii="Arial" w:eastAsia="Times New Roman" w:hAnsi="Arial" w:cs="Arial"/>
          <w:sz w:val="24"/>
          <w:szCs w:val="24"/>
          <w:lang w:val="sr-Cyrl-RS"/>
        </w:rPr>
        <w:t>Предност дата чланом 86.  ст. 1. до 4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ЗЈН 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>у поступцима јавних набавки у којима учествују понуђачи из држава потписница Споразума о слободној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трговини у централној Европи (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>CEFTA 2006) примењ</w:t>
      </w:r>
      <w:r>
        <w:rPr>
          <w:rFonts w:ascii="Arial" w:eastAsia="Times New Roman" w:hAnsi="Arial" w:cs="Arial"/>
          <w:sz w:val="24"/>
          <w:szCs w:val="24"/>
          <w:lang w:val="sr-Cyrl-RS"/>
        </w:rPr>
        <w:t>ује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 xml:space="preserve"> се сходно одредбама тог споразума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B42DA6" w:rsidRPr="00B42DA6" w:rsidRDefault="00B42DA6" w:rsidP="00B42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DA6">
        <w:rPr>
          <w:rFonts w:ascii="Arial" w:eastAsia="Times New Roman" w:hAnsi="Arial" w:cs="Arial"/>
          <w:b/>
          <w:sz w:val="24"/>
          <w:szCs w:val="24"/>
        </w:rPr>
        <w:t>Питање 5</w:t>
      </w:r>
      <w:r w:rsidRPr="00B42DA6">
        <w:rPr>
          <w:rFonts w:ascii="Arial" w:eastAsia="Times New Roman" w:hAnsi="Arial" w:cs="Arial"/>
          <w:sz w:val="24"/>
          <w:szCs w:val="24"/>
        </w:rPr>
        <w:t>:</w:t>
      </w:r>
      <w:r w:rsidRPr="00B42DA6">
        <w:t xml:space="preserve"> </w:t>
      </w:r>
      <w:r w:rsidR="001873F8" w:rsidRPr="001873F8">
        <w:rPr>
          <w:rFonts w:ascii="Arial" w:eastAsia="Times New Roman" w:hAnsi="Arial" w:cs="Arial"/>
          <w:sz w:val="24"/>
          <w:szCs w:val="24"/>
        </w:rPr>
        <w:t>CEFTA</w:t>
      </w:r>
      <w:r w:rsidRPr="00B42DA6">
        <w:rPr>
          <w:rFonts w:ascii="Arial" w:eastAsia="Times New Roman" w:hAnsi="Arial" w:cs="Arial"/>
          <w:sz w:val="24"/>
          <w:szCs w:val="24"/>
        </w:rPr>
        <w:t xml:space="preserve"> споразум  (обавезујући за Р Србију као потписницу) омогућава ширење тржишта за све производе, али и трговину под истим условима за све произвођаче, проширује и модернизује домен слободне трговине, отвара веће тржиште за трговину и инвестиције и ствара институције надлежне да управљају у овој области. Споразумом је предвиђена либерализација јавних набавки и привлачење инвестиција у земље потписнице, а повећава се и шанса за излазак на европска тржишта по преференцијалном, повлашћеном третману. Имајући у виду претходно речено, контрадикторно схватамо истовремену примјену преференцијалног третмана домаћег и одредби </w:t>
      </w:r>
      <w:r w:rsidR="001873F8" w:rsidRPr="001873F8">
        <w:rPr>
          <w:rFonts w:ascii="Arial" w:eastAsia="Times New Roman" w:hAnsi="Arial" w:cs="Arial"/>
          <w:sz w:val="24"/>
          <w:szCs w:val="24"/>
        </w:rPr>
        <w:t>CEFTA</w:t>
      </w:r>
      <w:r w:rsidRPr="00B42DA6">
        <w:rPr>
          <w:rFonts w:ascii="Arial" w:eastAsia="Times New Roman" w:hAnsi="Arial" w:cs="Arial"/>
          <w:sz w:val="24"/>
          <w:szCs w:val="24"/>
        </w:rPr>
        <w:t xml:space="preserve"> споразума. </w:t>
      </w:r>
    </w:p>
    <w:p w:rsidR="00B42DA6" w:rsidRPr="00B42DA6" w:rsidRDefault="00B42DA6" w:rsidP="00B42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2DA6" w:rsidRPr="00B42DA6" w:rsidRDefault="00B42DA6" w:rsidP="003467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7EFD" w:rsidRDefault="00BB0675" w:rsidP="00187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35D6" w:rsidRPr="00B42DA6">
        <w:rPr>
          <w:rFonts w:ascii="Arial" w:eastAsia="Times New Roman" w:hAnsi="Arial" w:cs="Arial"/>
          <w:b/>
          <w:sz w:val="24"/>
          <w:szCs w:val="24"/>
        </w:rPr>
        <w:t xml:space="preserve">Одговор </w:t>
      </w:r>
      <w:r w:rsidR="005635D6" w:rsidRPr="00B42DA6">
        <w:rPr>
          <w:rFonts w:ascii="Arial" w:eastAsia="Times New Roman" w:hAnsi="Arial" w:cs="Arial"/>
          <w:b/>
          <w:sz w:val="24"/>
          <w:szCs w:val="24"/>
          <w:lang w:val="sr-Cyrl-RS"/>
        </w:rPr>
        <w:t>5</w:t>
      </w:r>
      <w:r w:rsidR="005635D6" w:rsidRPr="00B42DA6">
        <w:rPr>
          <w:rFonts w:ascii="Arial" w:eastAsia="Times New Roman" w:hAnsi="Arial" w:cs="Arial"/>
          <w:b/>
          <w:sz w:val="24"/>
          <w:szCs w:val="24"/>
        </w:rPr>
        <w:t>:</w:t>
      </w:r>
      <w:r w:rsidR="005635D6">
        <w:rPr>
          <w:rFonts w:ascii="Arial" w:eastAsia="Times New Roman" w:hAnsi="Arial" w:cs="Arial"/>
          <w:sz w:val="24"/>
          <w:szCs w:val="24"/>
          <w:lang w:val="sr-Cyrl-RS"/>
        </w:rPr>
        <w:t xml:space="preserve">Поменута примена се односи на ситуације када постоји страни понуђач који </w:t>
      </w:r>
      <w:r w:rsidR="00786E7D">
        <w:rPr>
          <w:rFonts w:ascii="Arial" w:eastAsia="Times New Roman" w:hAnsi="Arial" w:cs="Arial"/>
          <w:sz w:val="24"/>
          <w:szCs w:val="24"/>
          <w:lang w:val="sr-Cyrl-RS"/>
        </w:rPr>
        <w:t>није потписник</w:t>
      </w:r>
      <w:r w:rsidR="00BD7EFD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="00786E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873F8" w:rsidRPr="001873F8">
        <w:rPr>
          <w:rFonts w:ascii="Arial" w:eastAsia="Times New Roman" w:hAnsi="Arial" w:cs="Arial"/>
          <w:sz w:val="24"/>
          <w:szCs w:val="24"/>
          <w:lang w:val="sr-Cyrl-RS"/>
        </w:rPr>
        <w:t>Споразум</w:t>
      </w:r>
      <w:r w:rsidR="001873F8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1873F8" w:rsidRPr="001873F8">
        <w:rPr>
          <w:rFonts w:ascii="Arial" w:eastAsia="Times New Roman" w:hAnsi="Arial" w:cs="Arial"/>
          <w:sz w:val="24"/>
          <w:szCs w:val="24"/>
          <w:lang w:val="sr-Cyrl-RS"/>
        </w:rPr>
        <w:t xml:space="preserve"> CEFTA 2006, Споразум</w:t>
      </w:r>
      <w:r w:rsidR="001873F8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1873F8" w:rsidRPr="001873F8">
        <w:rPr>
          <w:rFonts w:ascii="Arial" w:eastAsia="Times New Roman" w:hAnsi="Arial" w:cs="Arial"/>
          <w:sz w:val="24"/>
          <w:szCs w:val="24"/>
          <w:lang w:val="sr-Cyrl-RS"/>
        </w:rPr>
        <w:t xml:space="preserve"> о стабилизацији и придруживању </w:t>
      </w:r>
      <w:r w:rsidR="00BD7EFD" w:rsidRPr="00BD7EFD">
        <w:rPr>
          <w:rFonts w:ascii="Arial" w:eastAsia="Times New Roman" w:hAnsi="Arial" w:cs="Arial"/>
          <w:sz w:val="24"/>
          <w:szCs w:val="24"/>
          <w:lang w:val="sr-Cyrl-RS"/>
        </w:rPr>
        <w:t>EU</w:t>
      </w:r>
      <w:r w:rsidR="00BD7EFD">
        <w:rPr>
          <w:rFonts w:ascii="Arial" w:eastAsia="Times New Roman" w:hAnsi="Arial" w:cs="Arial"/>
          <w:sz w:val="24"/>
          <w:szCs w:val="24"/>
          <w:lang w:val="sr-Cyrl-RS"/>
        </w:rPr>
        <w:t xml:space="preserve">, Споразума са Турском, споразум са Руском Федерацијом и </w:t>
      </w:r>
      <w:r w:rsidR="001873F8" w:rsidRPr="001873F8">
        <w:rPr>
          <w:rFonts w:ascii="Arial" w:eastAsia="Times New Roman" w:hAnsi="Arial" w:cs="Arial"/>
          <w:sz w:val="24"/>
          <w:szCs w:val="24"/>
          <w:lang w:val="sr-Cyrl-RS"/>
        </w:rPr>
        <w:t xml:space="preserve">Споразум са државама </w:t>
      </w:r>
      <w:r w:rsidR="00BD7EFD" w:rsidRPr="00BD7EFD">
        <w:rPr>
          <w:rFonts w:ascii="Arial" w:eastAsia="Times New Roman" w:hAnsi="Arial" w:cs="Arial"/>
          <w:sz w:val="24"/>
          <w:szCs w:val="24"/>
          <w:lang w:val="sr-Cyrl-RS"/>
        </w:rPr>
        <w:t>EFTA</w:t>
      </w:r>
      <w:r w:rsidR="00BD7EF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86E7D" w:rsidRPr="00470881" w:rsidRDefault="001873F8" w:rsidP="00187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873F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BD7EFD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09</w:t>
      </w:r>
      <w:r w:rsidR="0016307C">
        <w:rPr>
          <w:rFonts w:ascii="Arial" w:eastAsia="Times New Roman" w:hAnsi="Arial" w:cs="Arial"/>
          <w:sz w:val="24"/>
          <w:szCs w:val="24"/>
          <w:lang w:val="sr-Cyrl-RS"/>
        </w:rPr>
        <w:t>.04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</w:p>
    <w:p w:rsidR="00E44BB4" w:rsidRDefault="00BD7EF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</w:t>
      </w:r>
      <w:r w:rsidR="00F009BB">
        <w:rPr>
          <w:rFonts w:ascii="Arial" w:eastAsia="Times New Roman" w:hAnsi="Arial" w:cs="Arial"/>
          <w:sz w:val="24"/>
          <w:szCs w:val="24"/>
          <w:lang w:val="sr-Cyrl-RS"/>
        </w:rPr>
        <w:t>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009BB" w:rsidRPr="001D07F7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F009BB" w:rsidRPr="001D07F7" w:rsidSect="00F133E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65"/>
    <w:multiLevelType w:val="hybridMultilevel"/>
    <w:tmpl w:val="3B3A74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CFB"/>
    <w:multiLevelType w:val="hybridMultilevel"/>
    <w:tmpl w:val="5344C3A2"/>
    <w:lvl w:ilvl="0" w:tplc="11B008AE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803DAB"/>
    <w:multiLevelType w:val="hybridMultilevel"/>
    <w:tmpl w:val="EDCC41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0B96E1D"/>
    <w:multiLevelType w:val="hybridMultilevel"/>
    <w:tmpl w:val="31423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23940"/>
    <w:rsid w:val="00064C85"/>
    <w:rsid w:val="0016307C"/>
    <w:rsid w:val="001873F8"/>
    <w:rsid w:val="001D07F7"/>
    <w:rsid w:val="00346747"/>
    <w:rsid w:val="003E436D"/>
    <w:rsid w:val="00470881"/>
    <w:rsid w:val="00527747"/>
    <w:rsid w:val="005635D6"/>
    <w:rsid w:val="0057267D"/>
    <w:rsid w:val="00636E6C"/>
    <w:rsid w:val="00751A9B"/>
    <w:rsid w:val="00786E7D"/>
    <w:rsid w:val="007E2C53"/>
    <w:rsid w:val="00855AE3"/>
    <w:rsid w:val="008B0367"/>
    <w:rsid w:val="00971657"/>
    <w:rsid w:val="009B0C75"/>
    <w:rsid w:val="009C214B"/>
    <w:rsid w:val="009F6AE4"/>
    <w:rsid w:val="00A51886"/>
    <w:rsid w:val="00B42DA6"/>
    <w:rsid w:val="00BA7AA8"/>
    <w:rsid w:val="00BB0675"/>
    <w:rsid w:val="00BD7EFD"/>
    <w:rsid w:val="00C200AB"/>
    <w:rsid w:val="00C84DAF"/>
    <w:rsid w:val="00D44E6E"/>
    <w:rsid w:val="00DD0225"/>
    <w:rsid w:val="00E44BB4"/>
    <w:rsid w:val="00E539F9"/>
    <w:rsid w:val="00F009BB"/>
    <w:rsid w:val="00F128A7"/>
    <w:rsid w:val="00F133E2"/>
    <w:rsid w:val="00F849FE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18</cp:revision>
  <cp:lastPrinted>2014-04-09T15:19:00Z</cp:lastPrinted>
  <dcterms:created xsi:type="dcterms:W3CDTF">2014-03-18T12:22:00Z</dcterms:created>
  <dcterms:modified xsi:type="dcterms:W3CDTF">2014-04-09T15:21:00Z</dcterms:modified>
</cp:coreProperties>
</file>