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31B1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35FF3">
        <w:rPr>
          <w:rFonts w:ascii="Arial" w:hAnsi="Arial" w:cs="Arial"/>
          <w:sz w:val="22"/>
          <w:szCs w:val="22"/>
        </w:rPr>
        <w:t>ДОБАРА</w:t>
      </w:r>
      <w:r w:rsidR="00335FF3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5FF3" w:rsidRPr="00335FF3">
        <w:rPr>
          <w:rFonts w:ascii="Arial" w:hAnsi="Arial" w:cs="Arial"/>
          <w:sz w:val="22"/>
          <w:szCs w:val="22"/>
          <w:lang w:val="sr-Cyrl-RS"/>
        </w:rPr>
        <w:t>Делови за мазутне горионике-ТЕНТ Б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35FF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5FF3" w:rsidRPr="00335FF3">
        <w:rPr>
          <w:rFonts w:ascii="Arial" w:hAnsi="Arial" w:cs="Arial"/>
          <w:sz w:val="22"/>
          <w:szCs w:val="22"/>
        </w:rPr>
        <w:t>3000/</w:t>
      </w:r>
      <w:r w:rsidR="00335FF3" w:rsidRPr="00335FF3">
        <w:rPr>
          <w:rFonts w:ascii="Arial" w:hAnsi="Arial" w:cs="Arial"/>
          <w:sz w:val="22"/>
          <w:szCs w:val="22"/>
          <w:lang w:val="en-US"/>
        </w:rPr>
        <w:t>0146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 xml:space="preserve"> (</w:t>
      </w:r>
      <w:r w:rsidR="00335FF3" w:rsidRPr="00335FF3">
        <w:rPr>
          <w:rFonts w:ascii="Arial" w:hAnsi="Arial" w:cs="Arial"/>
          <w:sz w:val="22"/>
          <w:szCs w:val="22"/>
          <w:lang w:val="en-US"/>
        </w:rPr>
        <w:t>1685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23327">
        <w:rPr>
          <w:rFonts w:ascii="Arial" w:hAnsi="Arial" w:cs="Arial"/>
          <w:sz w:val="22"/>
          <w:szCs w:val="22"/>
          <w:lang w:val="en-US"/>
        </w:rPr>
        <w:t>5364-E.03.02-7438/5-2017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23327">
        <w:rPr>
          <w:rFonts w:ascii="Arial" w:hAnsi="Arial" w:cs="Arial"/>
          <w:sz w:val="22"/>
          <w:szCs w:val="22"/>
          <w:lang w:val="en-US"/>
        </w:rPr>
        <w:t>18.01.2017.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35FF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7574C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35FF3" w:rsidRDefault="00C6690C" w:rsidP="00335FF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35FF3">
        <w:rPr>
          <w:rFonts w:ascii="Arial" w:hAnsi="Arial" w:cs="Arial"/>
          <w:sz w:val="22"/>
          <w:szCs w:val="22"/>
          <w:lang w:val="sr-Cyrl-RS"/>
        </w:rPr>
        <w:t xml:space="preserve"> добара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5FF3" w:rsidRPr="00335FF3">
        <w:rPr>
          <w:rFonts w:ascii="Arial" w:hAnsi="Arial" w:cs="Arial"/>
          <w:sz w:val="22"/>
          <w:szCs w:val="22"/>
        </w:rPr>
        <w:t>3000/</w:t>
      </w:r>
      <w:r w:rsidR="00335FF3" w:rsidRPr="00335FF3">
        <w:rPr>
          <w:rFonts w:ascii="Arial" w:hAnsi="Arial" w:cs="Arial"/>
          <w:sz w:val="22"/>
          <w:szCs w:val="22"/>
          <w:lang w:val="en-US"/>
        </w:rPr>
        <w:t>0146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 xml:space="preserve"> (</w:t>
      </w:r>
      <w:r w:rsidR="00335FF3" w:rsidRPr="00335FF3">
        <w:rPr>
          <w:rFonts w:ascii="Arial" w:hAnsi="Arial" w:cs="Arial"/>
          <w:sz w:val="22"/>
          <w:szCs w:val="22"/>
          <w:lang w:val="en-US"/>
        </w:rPr>
        <w:t>1685</w:t>
      </w:r>
      <w:r w:rsidR="00335FF3" w:rsidRPr="00335FF3">
        <w:rPr>
          <w:rFonts w:ascii="Arial" w:hAnsi="Arial" w:cs="Arial"/>
          <w:sz w:val="22"/>
          <w:szCs w:val="22"/>
        </w:rPr>
        <w:t>/201</w:t>
      </w:r>
      <w:r w:rsidR="00335FF3" w:rsidRPr="00335FF3">
        <w:rPr>
          <w:rFonts w:ascii="Arial" w:hAnsi="Arial" w:cs="Arial"/>
          <w:sz w:val="22"/>
          <w:szCs w:val="22"/>
          <w:lang w:val="en-US"/>
        </w:rPr>
        <w:t>6</w:t>
      </w:r>
      <w:r w:rsidR="00335FF3" w:rsidRPr="00335FF3">
        <w:rPr>
          <w:rFonts w:ascii="Arial" w:hAnsi="Arial" w:cs="Arial"/>
          <w:sz w:val="22"/>
          <w:szCs w:val="22"/>
        </w:rPr>
        <w:t>)</w:t>
      </w:r>
      <w:r w:rsidR="00335FF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335FF3" w:rsidRPr="00335FF3">
        <w:rPr>
          <w:rFonts w:ascii="Arial" w:hAnsi="Arial" w:cs="Arial"/>
          <w:sz w:val="22"/>
          <w:szCs w:val="22"/>
          <w:lang w:val="sr-Cyrl-RS"/>
        </w:rPr>
        <w:t>Делови за мазутне горионике-ТЕНТ 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A3973" w:rsidRPr="006A3973" w:rsidRDefault="00335FF3" w:rsidP="006A397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0F73">
        <w:rPr>
          <w:rFonts w:ascii="Arial" w:hAnsi="Arial" w:cs="Arial"/>
          <w:sz w:val="22"/>
          <w:szCs w:val="22"/>
          <w:lang w:val="sr-Cyrl-RS"/>
        </w:rPr>
        <w:t xml:space="preserve">Мења се тачка 2 у табели техничке спецификације и гласи: </w:t>
      </w:r>
      <w:r w:rsidR="006A3973" w:rsidRPr="006A3973">
        <w:rPr>
          <w:rFonts w:ascii="Arial" w:hAnsi="Arial" w:cs="Arial"/>
          <w:sz w:val="22"/>
          <w:szCs w:val="22"/>
          <w:lang w:val="sr-Cyrl-RS"/>
        </w:rPr>
        <w:t>Прохромско ребрасто црево са металним плетењем споља и равном прирубницом на оба краја (обе</w:t>
      </w:r>
      <w:r w:rsidR="006A39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A3973" w:rsidRPr="006A3973">
        <w:rPr>
          <w:rFonts w:ascii="Arial" w:hAnsi="Arial" w:cs="Arial"/>
          <w:sz w:val="22"/>
          <w:szCs w:val="22"/>
          <w:lang w:val="sr-Cyrl-RS"/>
        </w:rPr>
        <w:t>прирубнице окретне).</w:t>
      </w:r>
    </w:p>
    <w:p w:rsidR="006A3973" w:rsidRPr="006A3973" w:rsidRDefault="006A3973" w:rsidP="006A397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A3973">
        <w:rPr>
          <w:rFonts w:ascii="Arial" w:hAnsi="Arial" w:cs="Arial"/>
          <w:sz w:val="22"/>
          <w:szCs w:val="22"/>
          <w:lang w:val="sr-Cyrl-RS"/>
        </w:rPr>
        <w:t>Du = 50 mm (унутрашњи пречник)</w:t>
      </w:r>
    </w:p>
    <w:p w:rsidR="006A3973" w:rsidRPr="006A3973" w:rsidRDefault="006A3973" w:rsidP="006A397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A3973">
        <w:rPr>
          <w:rFonts w:ascii="Arial" w:hAnsi="Arial" w:cs="Arial"/>
          <w:sz w:val="22"/>
          <w:szCs w:val="22"/>
          <w:lang w:val="sr-Cyrl-RS"/>
        </w:rPr>
        <w:t>L= 11000 mm (укупна дужина)</w:t>
      </w:r>
    </w:p>
    <w:p w:rsidR="00C6690C" w:rsidRDefault="006A3973" w:rsidP="006A397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A3973">
        <w:rPr>
          <w:rFonts w:ascii="Arial" w:hAnsi="Arial" w:cs="Arial"/>
          <w:sz w:val="22"/>
          <w:szCs w:val="22"/>
          <w:lang w:val="sr-Cyrl-RS"/>
        </w:rPr>
        <w:t>NP16 NO50</w:t>
      </w:r>
    </w:p>
    <w:p w:rsidR="006A3973" w:rsidRPr="00295D8C" w:rsidRDefault="006A3973" w:rsidP="006A3973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335FF3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Ово са собом повлачи и измене </w:t>
      </w:r>
      <w:r w:rsidR="004D4859">
        <w:rPr>
          <w:rFonts w:ascii="Arial" w:hAnsi="Arial" w:cs="Arial"/>
          <w:sz w:val="22"/>
          <w:szCs w:val="22"/>
          <w:lang w:val="sr-Cyrl-RS"/>
        </w:rPr>
        <w:t>у техничкој спецификацији, обрасцу структуре цене и члану 9 модела уговора. Измењена т</w:t>
      </w:r>
      <w:r w:rsidR="009016EB">
        <w:rPr>
          <w:rFonts w:ascii="Arial" w:hAnsi="Arial" w:cs="Arial"/>
          <w:sz w:val="22"/>
          <w:szCs w:val="22"/>
          <w:lang w:val="sr-Cyrl-RS"/>
        </w:rPr>
        <w:t>ехничка спецификација и</w:t>
      </w:r>
      <w:r w:rsidR="004D4859">
        <w:rPr>
          <w:rFonts w:ascii="Arial" w:hAnsi="Arial" w:cs="Arial"/>
          <w:sz w:val="22"/>
          <w:szCs w:val="22"/>
          <w:lang w:val="sr-Cyrl-RS"/>
        </w:rPr>
        <w:t xml:space="preserve"> образац стр</w:t>
      </w:r>
      <w:r w:rsidR="009016EB">
        <w:rPr>
          <w:rFonts w:ascii="Arial" w:hAnsi="Arial" w:cs="Arial"/>
          <w:sz w:val="22"/>
          <w:szCs w:val="22"/>
          <w:lang w:val="sr-Cyrl-RS"/>
        </w:rPr>
        <w:t xml:space="preserve">уктуре цене </w:t>
      </w:r>
      <w:r w:rsidR="004D4859">
        <w:rPr>
          <w:rFonts w:ascii="Arial" w:hAnsi="Arial" w:cs="Arial"/>
          <w:sz w:val="22"/>
          <w:szCs w:val="22"/>
          <w:lang w:val="sr-Cyrl-RS"/>
        </w:rPr>
        <w:t>приказани су у прилогу.</w:t>
      </w:r>
    </w:p>
    <w:p w:rsidR="009016EB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9. модела уговора мења се и гласи:</w:t>
      </w:r>
    </w:p>
    <w:p w:rsidR="009016EB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ОБАВЕЗЕ ПРОДАВЦА</w:t>
      </w: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Члан 9.</w:t>
      </w:r>
    </w:p>
    <w:p w:rsidR="009016EB" w:rsidRPr="009016EB" w:rsidRDefault="009016EB" w:rsidP="009016EB">
      <w:pPr>
        <w:tabs>
          <w:tab w:val="left" w:pos="1134"/>
        </w:tabs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Cyrl-RS" w:eastAsia="en-US"/>
        </w:rPr>
        <w:t>Продавац се обавезује да: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Изради и испоручи црева: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гумено ребрасто, армирано жицом са унутрашње стране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="006A3973" w:rsidRPr="006A3973">
        <w:rPr>
          <w:rFonts w:ascii="Arial" w:eastAsia="Calibri" w:hAnsi="Arial" w:cs="Arial"/>
          <w:sz w:val="22"/>
          <w:szCs w:val="22"/>
          <w:lang w:val="sr-Cyrl-RS" w:eastAsia="en-US"/>
        </w:rPr>
        <w:t>Прохромско ребрасто црево са металним плетењем споља и равном прирубницом на оба краја (обе прирубнице окретне)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обавити према следећим радним условима и местом примене: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1)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црево, гумено ребрасто, армирано жицом са унутрашње стране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Радни флуид: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Мазут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Темп. Мазута: мин.</w:t>
      </w:r>
      <w:r w:rsidR="006A3973" w:rsidRPr="006A39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3973" w:rsidRPr="006A3973">
        <w:rPr>
          <w:rFonts w:ascii="Arial" w:eastAsia="Calibri" w:hAnsi="Arial" w:cs="Arial"/>
          <w:sz w:val="22"/>
          <w:szCs w:val="22"/>
          <w:lang w:eastAsia="en-US"/>
        </w:rPr>
        <w:t>70</w:t>
      </w:r>
      <w:r w:rsidR="006A3973" w:rsidRPr="006A397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О</w:t>
      </w:r>
      <w:r w:rsidR="006A3973" w:rsidRPr="006A3973">
        <w:rPr>
          <w:rFonts w:ascii="Arial" w:eastAsia="Calibri" w:hAnsi="Arial" w:cs="Arial"/>
          <w:sz w:val="22"/>
          <w:szCs w:val="22"/>
          <w:lang w:eastAsia="en-US"/>
        </w:rPr>
        <w:t>С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Примена:Црева се користе за транспорт мазута.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2)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="006A3973" w:rsidRPr="006A3973">
        <w:rPr>
          <w:rFonts w:ascii="Arial" w:eastAsia="Calibri" w:hAnsi="Arial" w:cs="Arial"/>
          <w:sz w:val="22"/>
          <w:szCs w:val="22"/>
          <w:lang w:val="sr-Cyrl-RS" w:eastAsia="en-US"/>
        </w:rPr>
        <w:t>Прохромско ребрасто црево са металним плетењем споља и равном прирубницом на оба краја (обе прирубнице окретне).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Радни флуид: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ab/>
        <w:t>пара</w:t>
      </w:r>
    </w:p>
    <w:p w:rsidR="009016EB" w:rsidRPr="006A3973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Темп. паре:</w:t>
      </w:r>
      <w:r w:rsidR="006A3973" w:rsidRPr="006A39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3973" w:rsidRPr="006A3973">
        <w:rPr>
          <w:rFonts w:ascii="Arial" w:eastAsia="Calibri" w:hAnsi="Arial" w:cs="Arial"/>
          <w:sz w:val="22"/>
          <w:szCs w:val="22"/>
          <w:lang w:eastAsia="en-US"/>
        </w:rPr>
        <w:t>170</w:t>
      </w:r>
      <w:r w:rsidR="006A3973" w:rsidRPr="006A397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О</w:t>
      </w:r>
      <w:r w:rsidR="006A3973">
        <w:rPr>
          <w:rFonts w:ascii="Arial" w:eastAsia="Calibri" w:hAnsi="Arial" w:cs="Arial"/>
          <w:sz w:val="22"/>
          <w:szCs w:val="22"/>
          <w:lang w:eastAsia="en-US"/>
        </w:rPr>
        <w:t>С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Притисак паре: 12 bar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Примена:Црева се користе за транспорт паре, за прогревање мазута.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Израду и испоруку црева обавити у складу са важећим стандардима за ову врсту опреме у Србији, а узевши у обзир горе наведене радне услове, конструктивнe карактеристике и место примене (на објекту купца), захтеване мере, постављање прирубница (где је то захтевано) и врсту прирубница (где је то захтевано).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Квалитет одабраних материјала за израду црева и делова (нпр. </w:t>
      </w:r>
      <w:r w:rsidR="006A3973">
        <w:rPr>
          <w:rFonts w:ascii="Arial" w:eastAsia="Calibri" w:hAnsi="Arial" w:cs="Arial"/>
          <w:sz w:val="22"/>
          <w:szCs w:val="22"/>
          <w:lang w:val="sr-Cyrl-RS" w:eastAsia="en-US"/>
        </w:rPr>
        <w:t>прохрома</w:t>
      </w:r>
      <w:r w:rsidR="00806D9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806D97" w:rsidRPr="00806D97">
        <w:rPr>
          <w:rFonts w:ascii="Arial" w:eastAsia="Calibri" w:hAnsi="Arial" w:cs="Arial"/>
          <w:sz w:val="22"/>
          <w:szCs w:val="22"/>
          <w:lang w:val="sr-Cyrl-RS" w:eastAsia="en-US"/>
        </w:rPr>
        <w:t>и металних плетења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прирубница, где је то захтевано), конструкивне карактеристике и  димензије елемената, треба да одговарају квалитету и димензијама типа црева из предмета набавке, а да при томе издржи захтеване радне услове наведене у предмету набавке, односно да оствари захтеване радне параметре током експлоатације. 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Приликом испоруке наручене робе продавац је у обавези да достави важеће атесте (сертификате материјала или уверење), којим се потврђује и гарантује квалитет робе, у супротном роба неће бити примљена у магацин.</w:t>
      </w:r>
    </w:p>
    <w:p w:rsidR="009016EB" w:rsidRPr="009016EB" w:rsidRDefault="009016EB" w:rsidP="009016E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9016EB">
        <w:rPr>
          <w:rFonts w:ascii="Arial" w:hAnsi="Arial" w:cs="Arial"/>
          <w:sz w:val="22"/>
          <w:szCs w:val="22"/>
          <w:lang w:eastAsia="en-US"/>
        </w:rPr>
        <w:t xml:space="preserve">У случају немогућности и/или отежане уградње испорученог предмета набавке, продавац  је у обавези да у року од 24 часа од пријема обавештења, обезбеди стручно особље, за наведене активности. </w:t>
      </w:r>
    </w:p>
    <w:p w:rsidR="009016EB" w:rsidRPr="009016EB" w:rsidRDefault="009016EB" w:rsidP="009016EB">
      <w:pPr>
        <w:suppressAutoHyphens w:val="0"/>
        <w:ind w:left="720" w:right="360"/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9016EB" w:rsidRPr="009016EB" w:rsidRDefault="009016EB" w:rsidP="009016EB">
      <w:p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9016EB">
        <w:rPr>
          <w:rFonts w:ascii="Arial" w:hAnsi="Arial" w:cs="Arial"/>
          <w:sz w:val="22"/>
          <w:szCs w:val="22"/>
          <w:lang w:eastAsia="en-US"/>
        </w:rPr>
        <w:t xml:space="preserve">У случају да се током уградње испорученог предмета набавке утврди </w:t>
      </w:r>
      <w:r w:rsidRPr="009016EB">
        <w:rPr>
          <w:rFonts w:ascii="Arial" w:hAnsi="Arial" w:cs="Arial"/>
          <w:sz w:val="22"/>
          <w:szCs w:val="22"/>
          <w:lang w:val="sl-SI" w:eastAsia="en-US"/>
        </w:rPr>
        <w:t>да је неопходно обавити преправку на делу опреме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 xml:space="preserve"> купца (што није прихватљиво)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,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је у обавези да свом трошку у што краћем року обезбеди одговарајући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нови део</w:t>
      </w:r>
      <w:r w:rsidRPr="009016EB">
        <w:rPr>
          <w:rFonts w:ascii="Arial" w:hAnsi="Arial" w:cs="Arial"/>
          <w:sz w:val="22"/>
          <w:szCs w:val="22"/>
          <w:lang w:val="sl-SI" w:eastAsia="en-US"/>
        </w:rPr>
        <w:t>. Сви трошкови набавке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 xml:space="preserve"> и испоруке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нов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ог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9016EB">
        <w:rPr>
          <w:rFonts w:ascii="Arial" w:hAnsi="Arial" w:cs="Arial"/>
          <w:sz w:val="22"/>
          <w:szCs w:val="22"/>
          <w:lang w:val="sl-SI" w:eastAsia="en-US"/>
        </w:rPr>
        <w:t xml:space="preserve"> падају на терет </w:t>
      </w:r>
      <w:r w:rsidRPr="009016E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9016EB">
        <w:rPr>
          <w:rFonts w:ascii="Arial" w:hAnsi="Arial" w:cs="Arial"/>
          <w:sz w:val="22"/>
          <w:szCs w:val="22"/>
          <w:lang w:val="sl-SI" w:eastAsia="en-US"/>
        </w:rPr>
        <w:t>.</w:t>
      </w:r>
    </w:p>
    <w:p w:rsidR="009016EB" w:rsidRPr="00335FF3" w:rsidRDefault="009016EB" w:rsidP="00335F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574C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335FF3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590E5A" w:rsidRDefault="00C6690C" w:rsidP="00590E5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6EB" w:rsidRDefault="009016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4C0" w:rsidRDefault="007574C0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16501" w:rsidRPr="00116501" w:rsidRDefault="00116501" w:rsidP="00DF23B4">
      <w:pPr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</w:p>
    <w:p w:rsidR="00590E5A" w:rsidRPr="00590E5A" w:rsidRDefault="00590E5A" w:rsidP="007574C0">
      <w:pPr>
        <w:numPr>
          <w:ilvl w:val="0"/>
          <w:numId w:val="22"/>
        </w:num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tbl>
      <w:tblPr>
        <w:tblW w:w="11121" w:type="dxa"/>
        <w:tblInd w:w="-1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419"/>
        <w:gridCol w:w="1603"/>
        <w:gridCol w:w="1097"/>
        <w:gridCol w:w="1221"/>
        <w:gridCol w:w="1440"/>
        <w:gridCol w:w="1800"/>
      </w:tblGrid>
      <w:tr w:rsidR="00590E5A" w:rsidRPr="00590E5A" w:rsidTr="007574C0">
        <w:trPr>
          <w:trHeight w:val="487"/>
        </w:trPr>
        <w:tc>
          <w:tcPr>
            <w:tcW w:w="54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ind w:right="-108" w:hanging="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1" w:name="_Toc441651541"/>
            <w:bookmarkStart w:id="2" w:name="_Toc442559879"/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Р.бр.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Предмет набавке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Произвођач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Једин. мере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ind w:right="-140" w:hanging="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Очекивана количина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Цена/ЈМ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Износ </w:t>
            </w:r>
          </w:p>
        </w:tc>
      </w:tr>
      <w:tr w:rsidR="00590E5A" w:rsidRPr="00590E5A" w:rsidTr="007574C0">
        <w:trPr>
          <w:trHeight w:val="2298"/>
        </w:trPr>
        <w:tc>
          <w:tcPr>
            <w:tcW w:w="54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9" w:type="dxa"/>
            <w:shd w:val="clear" w:color="auto" w:fill="auto"/>
          </w:tcPr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Црево, гумено ребрасто, армирано жицом са унутрашње стране.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D</w:t>
            </w:r>
            <w:r w:rsidRPr="00590E5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u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= </w:t>
            </w: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76</w:t>
            </w: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 xml:space="preserve"> mm 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3 “ -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унутрашњи пречник)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L= 11000 mm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(укупна дужина)</w:t>
            </w:r>
          </w:p>
          <w:p w:rsidR="00590E5A" w:rsidRPr="00590E5A" w:rsidRDefault="00590E5A" w:rsidP="00590E5A">
            <w:pPr>
              <w:suppressAutoHyphens w:val="0"/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l-SI" w:eastAsia="en-US"/>
              </w:rPr>
              <w:t>NP16 NO80</w:t>
            </w:r>
          </w:p>
          <w:p w:rsidR="00590E5A" w:rsidRPr="00590E5A" w:rsidRDefault="00590E5A" w:rsidP="00590E5A">
            <w:pPr>
              <w:suppressAutoHyphens w:val="0"/>
              <w:ind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Црево испоручити без прирубница.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/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</w:tr>
      <w:tr w:rsidR="00590E5A" w:rsidRPr="00590E5A" w:rsidTr="007574C0">
        <w:trPr>
          <w:trHeight w:val="2028"/>
        </w:trPr>
        <w:tc>
          <w:tcPr>
            <w:tcW w:w="541" w:type="dxa"/>
            <w:shd w:val="clear" w:color="auto" w:fill="auto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9" w:type="dxa"/>
            <w:shd w:val="clear" w:color="auto" w:fill="auto"/>
          </w:tcPr>
          <w:p w:rsidR="00806D97" w:rsidRPr="00806D97" w:rsidRDefault="00806D97" w:rsidP="00806D97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6D97">
              <w:rPr>
                <w:rFonts w:ascii="Arial" w:hAnsi="Arial" w:cs="Arial"/>
                <w:sz w:val="22"/>
                <w:szCs w:val="22"/>
                <w:lang w:eastAsia="en-US"/>
              </w:rPr>
              <w:t>Прохромско ребрасто црево са металним плетењем споља и равном прирубницом на оба краја (обе прирубнице окретне).</w:t>
            </w:r>
          </w:p>
          <w:p w:rsidR="00806D97" w:rsidRPr="00806D97" w:rsidRDefault="00806D97" w:rsidP="00806D97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6D97">
              <w:rPr>
                <w:rFonts w:ascii="Arial" w:hAnsi="Arial" w:cs="Arial"/>
                <w:sz w:val="22"/>
                <w:szCs w:val="22"/>
                <w:lang w:eastAsia="en-US"/>
              </w:rPr>
              <w:t>Du = 50 mm (унутрашњи пречник)</w:t>
            </w:r>
          </w:p>
          <w:p w:rsidR="00806D97" w:rsidRPr="00806D97" w:rsidRDefault="00806D97" w:rsidP="00806D97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6D97">
              <w:rPr>
                <w:rFonts w:ascii="Arial" w:hAnsi="Arial" w:cs="Arial"/>
                <w:sz w:val="22"/>
                <w:szCs w:val="22"/>
                <w:lang w:eastAsia="en-US"/>
              </w:rPr>
              <w:t>L= 11000 mm (укупна дужина)</w:t>
            </w:r>
          </w:p>
          <w:p w:rsidR="00590E5A" w:rsidRPr="00590E5A" w:rsidRDefault="00806D97" w:rsidP="00806D9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06D97">
              <w:rPr>
                <w:rFonts w:ascii="Arial" w:hAnsi="Arial" w:cs="Arial"/>
                <w:sz w:val="22"/>
                <w:szCs w:val="22"/>
                <w:lang w:eastAsia="en-US"/>
              </w:rPr>
              <w:t>NP16 NO50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sr-Latn-CS" w:eastAsia="en-US"/>
              </w:rPr>
              <w:t>/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0E5A" w:rsidRPr="00590E5A" w:rsidRDefault="00590E5A" w:rsidP="00590E5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0E5A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</w:p>
        </w:tc>
      </w:tr>
    </w:tbl>
    <w:p w:rsidR="00590E5A" w:rsidRPr="00590E5A" w:rsidRDefault="00590E5A" w:rsidP="00590E5A">
      <w:pPr>
        <w:suppressAutoHyphens w:val="0"/>
        <w:ind w:hanging="180"/>
        <w:jc w:val="both"/>
        <w:rPr>
          <w:rFonts w:ascii="Arial" w:hAnsi="Arial" w:cs="Arial"/>
          <w:b/>
          <w:szCs w:val="24"/>
          <w:lang w:eastAsia="en-US"/>
        </w:rPr>
      </w:pPr>
      <w:r w:rsidRPr="00590E5A">
        <w:rPr>
          <w:rFonts w:ascii="Arial" w:hAnsi="Arial" w:cs="Arial"/>
          <w:b/>
          <w:szCs w:val="24"/>
          <w:lang w:val="sl-SI" w:eastAsia="en-US"/>
        </w:rPr>
        <w:t xml:space="preserve">Обавезе </w:t>
      </w:r>
      <w:r w:rsidRPr="00590E5A">
        <w:rPr>
          <w:rFonts w:ascii="Arial" w:hAnsi="Arial" w:cs="Arial"/>
          <w:b/>
          <w:szCs w:val="24"/>
          <w:lang w:eastAsia="en-US"/>
        </w:rPr>
        <w:t>испоручиоца</w:t>
      </w:r>
      <w:r w:rsidRPr="00590E5A">
        <w:rPr>
          <w:rFonts w:ascii="Arial" w:hAnsi="Arial" w:cs="Arial"/>
          <w:b/>
          <w:szCs w:val="24"/>
          <w:lang w:val="sl-SI" w:eastAsia="en-US"/>
        </w:rPr>
        <w:t>: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Израду и испоруку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eastAsia="en-US"/>
        </w:rPr>
        <w:t>црева:</w:t>
      </w:r>
    </w:p>
    <w:p w:rsidR="00590E5A" w:rsidRPr="00590E5A" w:rsidRDefault="00590E5A" w:rsidP="00590E5A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гумено ребрасто, армирано жицом са унутрашње стране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590E5A" w:rsidRPr="00590E5A" w:rsidRDefault="00806D97" w:rsidP="00590E5A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806D97">
        <w:rPr>
          <w:rFonts w:ascii="Arial" w:hAnsi="Arial" w:cs="Arial"/>
          <w:sz w:val="22"/>
          <w:szCs w:val="22"/>
          <w:lang w:val="sr-Cyrl-RS" w:eastAsia="en-US"/>
        </w:rPr>
        <w:t xml:space="preserve">Прохромско ребрасто црево </w:t>
      </w:r>
      <w:r w:rsidRPr="00806D97">
        <w:rPr>
          <w:rFonts w:ascii="Arial" w:hAnsi="Arial" w:cs="Arial"/>
          <w:sz w:val="22"/>
          <w:szCs w:val="22"/>
          <w:lang w:eastAsia="en-US"/>
        </w:rPr>
        <w:t xml:space="preserve">са металним плетењем споља </w:t>
      </w:r>
      <w:r w:rsidRPr="00806D97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806D97">
        <w:rPr>
          <w:rFonts w:ascii="Arial" w:hAnsi="Arial" w:cs="Arial"/>
          <w:sz w:val="22"/>
          <w:szCs w:val="22"/>
          <w:lang w:eastAsia="en-US"/>
        </w:rPr>
        <w:t xml:space="preserve"> равном прирубницом на оба</w:t>
      </w:r>
      <w:r>
        <w:rPr>
          <w:rFonts w:ascii="Arial" w:hAnsi="Arial" w:cs="Arial"/>
          <w:sz w:val="22"/>
          <w:szCs w:val="22"/>
          <w:lang w:eastAsia="en-US"/>
        </w:rPr>
        <w:t xml:space="preserve"> краја (обе прирубнице окретне)</w:t>
      </w:r>
      <w:r w:rsidR="00590E5A" w:rsidRPr="00590E5A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590E5A" w:rsidRPr="00590E5A" w:rsidRDefault="00590E5A" w:rsidP="00590E5A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обавити према следећим р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адни</w:t>
      </w:r>
      <w:r w:rsidRPr="00590E5A">
        <w:rPr>
          <w:rFonts w:ascii="Arial" w:hAnsi="Arial" w:cs="Arial"/>
          <w:sz w:val="22"/>
          <w:szCs w:val="22"/>
          <w:lang w:eastAsia="en-US"/>
        </w:rPr>
        <w:t>м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услови</w:t>
      </w:r>
      <w:r w:rsidRPr="00590E5A">
        <w:rPr>
          <w:rFonts w:ascii="Arial" w:hAnsi="Arial" w:cs="Arial"/>
          <w:sz w:val="22"/>
          <w:szCs w:val="22"/>
          <w:lang w:eastAsia="en-US"/>
        </w:rPr>
        <w:t>ма и местом примене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:</w:t>
      </w:r>
    </w:p>
    <w:p w:rsidR="00590E5A" w:rsidRPr="00590E5A" w:rsidRDefault="00590E5A" w:rsidP="00590E5A">
      <w:pPr>
        <w:suppressAutoHyphens w:val="0"/>
        <w:jc w:val="both"/>
        <w:rPr>
          <w:rFonts w:ascii="Arial" w:hAnsi="Arial" w:cs="Arial"/>
          <w:b/>
          <w:sz w:val="18"/>
          <w:szCs w:val="18"/>
          <w:lang w:val="sl-SI" w:eastAsia="en-US"/>
        </w:rPr>
      </w:pPr>
    </w:p>
    <w:p w:rsidR="00590E5A" w:rsidRPr="00590E5A" w:rsidRDefault="00590E5A" w:rsidP="00590E5A">
      <w:pPr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црево, гумено ребрасто, армирано жицом са унутрашње стране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Радни флуид:</w:t>
      </w:r>
      <w:r w:rsidRPr="00590E5A">
        <w:rPr>
          <w:rFonts w:ascii="Arial" w:hAnsi="Arial" w:cs="Arial"/>
          <w:sz w:val="22"/>
          <w:szCs w:val="22"/>
          <w:lang w:eastAsia="en-US"/>
        </w:rPr>
        <w:tab/>
        <w:t>Мазут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Темп. Мазута: мин.70</w:t>
      </w:r>
      <w:r w:rsidRPr="00590E5A">
        <w:rPr>
          <w:rFonts w:ascii="Arial" w:hAnsi="Arial" w:cs="Arial"/>
          <w:sz w:val="22"/>
          <w:szCs w:val="22"/>
          <w:vertAlign w:val="superscript"/>
          <w:lang w:eastAsia="en-US"/>
        </w:rPr>
        <w:t>О</w:t>
      </w:r>
      <w:r w:rsidRPr="00590E5A">
        <w:rPr>
          <w:rFonts w:ascii="Arial" w:hAnsi="Arial" w:cs="Arial"/>
          <w:sz w:val="22"/>
          <w:szCs w:val="22"/>
          <w:lang w:eastAsia="en-US"/>
        </w:rPr>
        <w:t>С</w:t>
      </w:r>
    </w:p>
    <w:p w:rsidR="00590E5A" w:rsidRPr="00590E5A" w:rsidRDefault="00590E5A" w:rsidP="00590E5A">
      <w:pPr>
        <w:suppressAutoHyphens w:val="0"/>
        <w:ind w:left="-36" w:firstLine="7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Примена:Црева се користе за транспорт мазута.</w:t>
      </w:r>
    </w:p>
    <w:p w:rsidR="00590E5A" w:rsidRPr="00590E5A" w:rsidRDefault="00351DE9" w:rsidP="00590E5A">
      <w:pPr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351DE9">
        <w:rPr>
          <w:rFonts w:ascii="Arial" w:hAnsi="Arial" w:cs="Arial"/>
          <w:sz w:val="22"/>
          <w:szCs w:val="22"/>
          <w:lang w:val="sr-Cyrl-RS" w:eastAsia="en-US"/>
        </w:rPr>
        <w:t xml:space="preserve">Прохромско ребрасто црево </w:t>
      </w:r>
      <w:r w:rsidRPr="00351DE9">
        <w:rPr>
          <w:rFonts w:ascii="Arial" w:hAnsi="Arial" w:cs="Arial"/>
          <w:sz w:val="22"/>
          <w:szCs w:val="22"/>
          <w:lang w:eastAsia="en-US"/>
        </w:rPr>
        <w:t xml:space="preserve">са металним плетењем споља </w:t>
      </w:r>
      <w:r w:rsidRPr="00351DE9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351DE9">
        <w:rPr>
          <w:rFonts w:ascii="Arial" w:hAnsi="Arial" w:cs="Arial"/>
          <w:sz w:val="22"/>
          <w:szCs w:val="22"/>
          <w:lang w:eastAsia="en-US"/>
        </w:rPr>
        <w:t xml:space="preserve"> равном прирубницом на оба краја (обе прирубнице окретне).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Радни флуид:</w:t>
      </w:r>
      <w:r w:rsidRPr="00590E5A">
        <w:rPr>
          <w:rFonts w:ascii="Arial" w:hAnsi="Arial" w:cs="Arial"/>
          <w:sz w:val="22"/>
          <w:szCs w:val="22"/>
          <w:lang w:eastAsia="en-US"/>
        </w:rPr>
        <w:tab/>
        <w:t>пара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Темп.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паре</w:t>
      </w:r>
      <w:r w:rsidRPr="00590E5A">
        <w:rPr>
          <w:rFonts w:ascii="Arial" w:hAnsi="Arial" w:cs="Arial"/>
          <w:sz w:val="22"/>
          <w:szCs w:val="22"/>
          <w:lang w:eastAsia="en-US"/>
        </w:rPr>
        <w:t>:170</w:t>
      </w:r>
      <w:r w:rsidRPr="00590E5A">
        <w:rPr>
          <w:rFonts w:ascii="Arial" w:hAnsi="Arial" w:cs="Arial"/>
          <w:sz w:val="22"/>
          <w:szCs w:val="22"/>
          <w:vertAlign w:val="superscript"/>
          <w:lang w:eastAsia="en-US"/>
        </w:rPr>
        <w:t>О</w:t>
      </w:r>
      <w:r w:rsidRPr="00590E5A">
        <w:rPr>
          <w:rFonts w:ascii="Arial" w:hAnsi="Arial" w:cs="Arial"/>
          <w:sz w:val="22"/>
          <w:szCs w:val="22"/>
          <w:lang w:eastAsia="en-US"/>
        </w:rPr>
        <w:t>С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Притисак паре: 12 </w:t>
      </w:r>
      <w:r w:rsidRPr="00590E5A">
        <w:rPr>
          <w:rFonts w:ascii="Arial" w:hAnsi="Arial" w:cs="Arial"/>
          <w:sz w:val="22"/>
          <w:szCs w:val="22"/>
          <w:lang w:val="sr-Latn-RS" w:eastAsia="en-US"/>
        </w:rPr>
        <w:t>bar</w:t>
      </w:r>
    </w:p>
    <w:p w:rsidR="00590E5A" w:rsidRPr="00590E5A" w:rsidRDefault="00590E5A" w:rsidP="00590E5A">
      <w:pPr>
        <w:suppressAutoHyphens w:val="0"/>
        <w:ind w:left="684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Примена:Црева се користе за транспорт паре, за прогревање мазута.</w:t>
      </w:r>
    </w:p>
    <w:p w:rsidR="00590E5A" w:rsidRPr="00590E5A" w:rsidRDefault="00590E5A" w:rsidP="00590E5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>Израду и испоруку црева обавити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 складу са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важећим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стандард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има за ову врсту опреме у Србији</w:t>
      </w:r>
      <w:r w:rsidRPr="00590E5A">
        <w:rPr>
          <w:rFonts w:ascii="Arial" w:hAnsi="Arial" w:cs="Arial"/>
          <w:sz w:val="22"/>
          <w:szCs w:val="22"/>
          <w:lang w:eastAsia="en-US"/>
        </w:rPr>
        <w:t>, а узевши у обзир горе наведене радне услове, конструктивн</w:t>
      </w:r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e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карактеристике и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место примене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(на објекту купца)</w:t>
      </w:r>
      <w:r w:rsidRPr="00590E5A">
        <w:rPr>
          <w:rFonts w:ascii="Arial" w:hAnsi="Arial" w:cs="Arial"/>
          <w:sz w:val="22"/>
          <w:szCs w:val="22"/>
          <w:lang w:eastAsia="en-US"/>
        </w:rPr>
        <w:t>,  захтеване мере, постављање прирубница (где је то захтевано)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 врсту прирубница (где је то захтевано).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Квалитет одабраних материјала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за израду 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 делова (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нпр.</w:t>
      </w:r>
      <w:r w:rsidR="00351DE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E414CF">
        <w:rPr>
          <w:rFonts w:ascii="Arial" w:hAnsi="Arial" w:cs="Arial"/>
          <w:sz w:val="22"/>
          <w:szCs w:val="22"/>
          <w:lang w:val="sr-Cyrl-RS" w:eastAsia="en-US"/>
        </w:rPr>
        <w:t>п</w:t>
      </w:r>
      <w:r w:rsidR="00351DE9">
        <w:rPr>
          <w:rFonts w:ascii="Arial" w:hAnsi="Arial" w:cs="Arial"/>
          <w:sz w:val="22"/>
          <w:szCs w:val="22"/>
          <w:lang w:val="sr-Cyrl-RS" w:eastAsia="en-US"/>
        </w:rPr>
        <w:t>рохрома 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металних плетења и прирубница, где је то захтевано</w:t>
      </w:r>
      <w:r w:rsidRPr="00590E5A">
        <w:rPr>
          <w:rFonts w:ascii="Arial" w:hAnsi="Arial" w:cs="Arial"/>
          <w:sz w:val="22"/>
          <w:szCs w:val="22"/>
          <w:lang w:val="sl-SI" w:eastAsia="en-US"/>
        </w:rPr>
        <w:t>), конструки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не карактеристике и  димензије елемената, треба да одговарају квалитету и димензијама типа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из предмета набавке, а да при томе издржи захтеване </w:t>
      </w:r>
      <w:r w:rsidRPr="00590E5A">
        <w:rPr>
          <w:rFonts w:ascii="Arial" w:hAnsi="Arial" w:cs="Arial"/>
          <w:sz w:val="22"/>
          <w:szCs w:val="22"/>
          <w:lang w:val="sl-SI" w:eastAsia="en-US"/>
        </w:rPr>
        <w:lastRenderedPageBreak/>
        <w:t>радне услове наведен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у предмету набавке, односно да оствари захтеване радне параметре током експлоатације.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Приликом испоруке наручене робе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је у обавези да достави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важећ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>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атест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>е (сертификате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материјала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 или уверење),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којим се потврђује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 и гарантује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 xml:space="preserve"> квалитет </w:t>
      </w:r>
      <w:r w:rsidRPr="00590E5A">
        <w:rPr>
          <w:rFonts w:ascii="Arial" w:hAnsi="Arial" w:cs="Arial"/>
          <w:b/>
          <w:sz w:val="22"/>
          <w:szCs w:val="22"/>
          <w:lang w:eastAsia="en-US"/>
        </w:rPr>
        <w:t xml:space="preserve">робе, </w:t>
      </w:r>
      <w:r w:rsidRPr="00590E5A">
        <w:rPr>
          <w:rFonts w:ascii="Arial" w:hAnsi="Arial" w:cs="Arial"/>
          <w:b/>
          <w:sz w:val="22"/>
          <w:szCs w:val="22"/>
          <w:lang w:val="sl-SI" w:eastAsia="en-US"/>
        </w:rPr>
        <w:t>у супротном роба неће бити примљена у магацин.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val="sl-SI" w:eastAsia="en-US"/>
        </w:rPr>
        <w:t>Ако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се након испоруке установи да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предмет набавке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није у складу са захтевима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може да одбије да изврши пријем </w:t>
      </w:r>
      <w:r w:rsidRPr="00590E5A">
        <w:rPr>
          <w:rFonts w:ascii="Arial" w:hAnsi="Arial" w:cs="Arial"/>
          <w:sz w:val="22"/>
          <w:szCs w:val="22"/>
          <w:lang w:eastAsia="en-US"/>
        </w:rPr>
        <w:t>предмета набавке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мора да замени такву </w:t>
      </w:r>
      <w:r w:rsidRPr="00590E5A">
        <w:rPr>
          <w:rFonts w:ascii="Arial" w:hAnsi="Arial" w:cs="Arial"/>
          <w:sz w:val="22"/>
          <w:szCs w:val="22"/>
          <w:lang w:eastAsia="en-US"/>
        </w:rPr>
        <w:t>робу у циљу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исп</w:t>
      </w:r>
      <w:r w:rsidRPr="00590E5A">
        <w:rPr>
          <w:rFonts w:ascii="Arial" w:hAnsi="Arial" w:cs="Arial"/>
          <w:sz w:val="22"/>
          <w:szCs w:val="22"/>
          <w:lang w:eastAsia="en-US"/>
        </w:rPr>
        <w:t>уњавања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захтев</w:t>
      </w:r>
      <w:r w:rsidRPr="00590E5A">
        <w:rPr>
          <w:rFonts w:ascii="Arial" w:hAnsi="Arial" w:cs="Arial"/>
          <w:sz w:val="22"/>
          <w:szCs w:val="22"/>
          <w:lang w:eastAsia="en-US"/>
        </w:rPr>
        <w:t>а купца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, без додатних трошкова по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>.</w:t>
      </w:r>
      <w:r w:rsidRPr="00590E5A">
        <w:rPr>
          <w:rFonts w:ascii="Arial" w:hAnsi="Arial" w:cs="Arial"/>
          <w:sz w:val="22"/>
          <w:szCs w:val="22"/>
          <w:lang w:eastAsia="en-US"/>
        </w:rPr>
        <w:t xml:space="preserve"> Продавац с</w:t>
      </w:r>
      <w:proofErr w:type="spellStart"/>
      <w:r w:rsidRPr="00590E5A">
        <w:rPr>
          <w:rFonts w:ascii="Arial" w:hAnsi="Arial" w:cs="Arial"/>
          <w:sz w:val="22"/>
          <w:szCs w:val="22"/>
          <w:lang w:val="en-US" w:eastAsia="en-US"/>
        </w:rPr>
        <w:t>носи</w:t>
      </w:r>
      <w:proofErr w:type="spellEnd"/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sz w:val="22"/>
          <w:szCs w:val="22"/>
          <w:lang w:val="en-US" w:eastAsia="en-US"/>
        </w:rPr>
        <w:t>трошкове</w:t>
      </w:r>
      <w:proofErr w:type="spellEnd"/>
      <w:r w:rsidRPr="00590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eastAsia="en-US"/>
        </w:rPr>
        <w:t>замене и нове испоруке.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немогућности и/или отежане уградње испорученог предмета набавке, продавац је у обавези да у року од 24 часа од пријема обавештења, обезбеди стручно особље, за наведене активности.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да се током уградње испорученог предмета набавке утврди </w:t>
      </w:r>
      <w:r w:rsidRPr="00590E5A">
        <w:rPr>
          <w:rFonts w:ascii="Arial" w:hAnsi="Arial" w:cs="Arial"/>
          <w:sz w:val="22"/>
          <w:szCs w:val="22"/>
          <w:lang w:val="sl-SI" w:eastAsia="en-US"/>
        </w:rPr>
        <w:t>да је неопходно обавити преправку на делу опреме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купца (што није прихватљиво)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,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је у обавези да свом трошку у што краћем року обезбеди одговарајући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нови део</w:t>
      </w:r>
      <w:r w:rsidRPr="00590E5A">
        <w:rPr>
          <w:rFonts w:ascii="Arial" w:hAnsi="Arial" w:cs="Arial"/>
          <w:sz w:val="22"/>
          <w:szCs w:val="22"/>
          <w:lang w:val="sl-SI" w:eastAsia="en-US"/>
        </w:rPr>
        <w:t>. Сви трошкови набавке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 испоруке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нов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ог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црева</w:t>
      </w:r>
      <w:r w:rsidRPr="00590E5A">
        <w:rPr>
          <w:rFonts w:ascii="Arial" w:hAnsi="Arial" w:cs="Arial"/>
          <w:sz w:val="22"/>
          <w:szCs w:val="22"/>
          <w:lang w:val="sl-SI" w:eastAsia="en-US"/>
        </w:rPr>
        <w:t xml:space="preserve"> падају на терет испоручиоца.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појаве оштећења испорученог предмета набавке у гарантном периоду, продавац је у обавези да у року од 24 часа од пријема обавештења, обезбеди стручно особље (о свом трошку), које ће заједно са представником купца утврдити узрок превременог оштећења, као и разлоге због којих испоручена црева лоше израђена и не издржавају захтеване радне услове (без додатних трошкова по купца).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продавац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(Продавац сноси све трошкове замене и нове испоруке).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У случају сервиса и репарације предмета набавке или неког  његовог дела у гарантном периоду, као и замене предмета набавке новим, неопходно је обавити продужење гарантног периода за нових 24 месеца за ново испоручени и/или сервисирани предмет набавке. </w:t>
      </w:r>
    </w:p>
    <w:p w:rsidR="00590E5A" w:rsidRPr="00590E5A" w:rsidRDefault="00590E5A" w:rsidP="00590E5A">
      <w:pPr>
        <w:numPr>
          <w:ilvl w:val="0"/>
          <w:numId w:val="13"/>
        </w:numPr>
        <w:suppressAutoHyphens w:val="0"/>
        <w:spacing w:line="276" w:lineRule="auto"/>
        <w:ind w:left="714" w:right="360" w:hanging="357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590E5A">
        <w:rPr>
          <w:rFonts w:ascii="Arial" w:hAnsi="Arial" w:cs="Arial"/>
          <w:sz w:val="22"/>
          <w:szCs w:val="22"/>
          <w:lang w:eastAsia="en-US"/>
        </w:rPr>
        <w:t xml:space="preserve">Продавац ће преузети све трошкове купца, који би настали неодазивањем на позив купца ради ангажовања стручног особља упућеног: у случају немогућности и/или отежане уградње, оштећења рада испоручене утробе пумпе у гарантном периоду и/или да 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>утроба пумпе не остварује захтеване радне услове из захтева купца.</w:t>
      </w:r>
    </w:p>
    <w:p w:rsidR="00590E5A" w:rsidRPr="00590E5A" w:rsidRDefault="00590E5A" w:rsidP="00590E5A">
      <w:pPr>
        <w:keepNext/>
        <w:numPr>
          <w:ilvl w:val="1"/>
          <w:numId w:val="17"/>
        </w:numPr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Врста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количина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Према обрасцу структуре цене.</w:t>
      </w:r>
    </w:p>
    <w:p w:rsidR="00590E5A" w:rsidRPr="00590E5A" w:rsidRDefault="00590E5A" w:rsidP="00590E5A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2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proofErr w:type="spellEnd"/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30 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обостраног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потписивања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b/>
          <w:sz w:val="22"/>
          <w:szCs w:val="22"/>
          <w:lang w:val="sr-Cyrl-RS" w:eastAsia="en-US"/>
        </w:rPr>
        <w:t>3.3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  <w:r w:rsidRPr="00590E5A">
        <w:rPr>
          <w:rFonts w:ascii="Arial" w:eastAsia="Calibri" w:hAnsi="Arial" w:cs="Arial"/>
          <w:b/>
          <w:sz w:val="22"/>
          <w:szCs w:val="22"/>
          <w:lang w:val="sr-Cyrl-RS" w:eastAsia="en-US"/>
        </w:rPr>
        <w:t>Квалитет добара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Подаци о квалетету су приказани у техничкој спецификацији.</w:t>
      </w:r>
    </w:p>
    <w:p w:rsidR="00590E5A" w:rsidRPr="00590E5A" w:rsidRDefault="00590E5A" w:rsidP="00590E5A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1651542"/>
      <w:bookmarkStart w:id="4" w:name="_Toc442559880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је магацин ТЕНТ Б.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590E5A">
        <w:rPr>
          <w:rFonts w:ascii="Arial" w:eastAsia="Calibri" w:hAnsi="Arial" w:cs="Arial"/>
          <w:sz w:val="22"/>
          <w:szCs w:val="22"/>
          <w:lang w:eastAsia="zh-CN"/>
        </w:rPr>
        <w:t>Паритет испоруке  је франко магацин ТЕНТ Б.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b/>
          <w:sz w:val="22"/>
          <w:szCs w:val="22"/>
          <w:lang w:val="sr-Cyrl-RS" w:eastAsia="zh-CN"/>
        </w:rPr>
        <w:t>3.5. Гарантни период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Гарантни рок не може бити краћи од 24 месеца од дана испоруке  добара.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 xml:space="preserve">У случају појаве оштећења испорученог предмета набавке у гарантном периоду, продавац је у обавези да у року од 24 часа од пријема обавештења, обезбеди стручно особље (о свом трошку), које ће заједно са представником купца утврдити узрок превременог оштећења, као и разлоге због којих испоручена црева лоше израђена и не издржавају захтеване радне услове (без додатних трошкова по купца).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продавац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(Продавац сноси све трошкове замене и нове испоруке). 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У случају сервиса и репарације предмета набавке или неког  његовог дела у гарантном периоду, као и замене предмета набавке новим, неопходно је обавити продужење гарантног периода за нових 24 месеца за ново испоручени и/или сервисирани предмет набавке</w:t>
      </w:r>
    </w:p>
    <w:p w:rsidR="00590E5A" w:rsidRPr="00590E5A" w:rsidRDefault="00590E5A" w:rsidP="00590E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zh-CN"/>
        </w:rPr>
        <w:t>Изабрани Понуђач је дужан да о свом трошку отклони све евентуалне недостатке у току трајања гарантног рока</w:t>
      </w:r>
    </w:p>
    <w:p w:rsidR="00590E5A" w:rsidRPr="00590E5A" w:rsidRDefault="00590E5A" w:rsidP="00590E5A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90E5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90E5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590E5A" w:rsidRPr="00590E5A" w:rsidRDefault="00590E5A" w:rsidP="00590E5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90E5A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590E5A" w:rsidRPr="00590E5A" w:rsidRDefault="00590E5A" w:rsidP="00590E5A">
      <w:pPr>
        <w:rPr>
          <w:rFonts w:ascii="Arial" w:hAnsi="Arial" w:cs="Arial"/>
          <w:sz w:val="22"/>
          <w:szCs w:val="22"/>
          <w:lang w:val="sr-Cyrl-RS"/>
        </w:rPr>
      </w:pPr>
      <w:r w:rsidRPr="00590E5A">
        <w:rPr>
          <w:rFonts w:ascii="Arial" w:hAnsi="Arial" w:cs="Arial"/>
          <w:b/>
          <w:sz w:val="22"/>
          <w:szCs w:val="22"/>
          <w:lang w:val="sr-Cyrl-RS" w:eastAsia="en-US"/>
        </w:rPr>
        <w:t>3.7.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90E5A">
        <w:rPr>
          <w:rFonts w:ascii="Arial" w:hAnsi="Arial" w:cs="Arial"/>
          <w:b/>
          <w:sz w:val="22"/>
          <w:szCs w:val="22"/>
          <w:lang w:val="sr-Cyrl-RS" w:eastAsia="en-US"/>
        </w:rPr>
        <w:t>Посета објекту:</w:t>
      </w:r>
    </w:p>
    <w:p w:rsidR="00590E5A" w:rsidRPr="00590E5A" w:rsidRDefault="00590E5A" w:rsidP="00590E5A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0E5A">
        <w:rPr>
          <w:rFonts w:ascii="Arial" w:hAnsi="Arial" w:cs="Arial"/>
          <w:sz w:val="22"/>
          <w:szCs w:val="22"/>
          <w:lang w:val="sr-Cyrl-RS" w:eastAsia="en-US"/>
        </w:rPr>
        <w:t>Посета објекту је обавезна: особ</w:t>
      </w:r>
      <w:r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за контакт ради заказивања посете </w:t>
      </w:r>
      <w:r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инжењер</w:t>
      </w:r>
      <w:r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Марко Иванковић</w:t>
      </w:r>
      <w:r w:rsidRPr="00590E5A">
        <w:rPr>
          <w:rFonts w:ascii="Arial" w:hAnsi="Arial" w:cs="Arial"/>
          <w:sz w:val="22"/>
          <w:szCs w:val="22"/>
          <w:lang w:val="sr-Cyrl-RS" w:eastAsia="en-US"/>
        </w:rPr>
        <w:t xml:space="preserve">, e mail: </w:t>
      </w:r>
      <w:r>
        <w:rPr>
          <w:rFonts w:ascii="Arial" w:hAnsi="Arial" w:cs="Arial"/>
          <w:sz w:val="22"/>
          <w:szCs w:val="22"/>
          <w:lang w:val="en-US" w:eastAsia="en-US"/>
        </w:rPr>
        <w:fldChar w:fldCharType="begin"/>
      </w:r>
      <w:r>
        <w:rPr>
          <w:rFonts w:ascii="Arial" w:hAnsi="Arial" w:cs="Arial"/>
          <w:sz w:val="22"/>
          <w:szCs w:val="22"/>
          <w:lang w:val="en-US" w:eastAsia="en-US"/>
        </w:rPr>
        <w:instrText xml:space="preserve"> HYPERLINK "mailto:marko.ivankovic@eps.rs" </w:instrText>
      </w:r>
      <w:r>
        <w:rPr>
          <w:rFonts w:ascii="Arial" w:hAnsi="Arial" w:cs="Arial"/>
          <w:sz w:val="22"/>
          <w:szCs w:val="22"/>
          <w:lang w:val="en-US" w:eastAsia="en-US"/>
        </w:rPr>
        <w:fldChar w:fldCharType="separate"/>
      </w:r>
      <w:r w:rsidRPr="000750F5">
        <w:rPr>
          <w:rStyle w:val="Hyperlink"/>
          <w:rFonts w:ascii="Arial" w:hAnsi="Arial" w:cs="Arial"/>
          <w:sz w:val="22"/>
          <w:szCs w:val="22"/>
          <w:lang w:val="en-US" w:eastAsia="en-US"/>
        </w:rPr>
        <w:t>marko.ivankovic@eps.rs</w:t>
      </w:r>
      <w:r>
        <w:rPr>
          <w:rFonts w:ascii="Arial" w:hAnsi="Arial" w:cs="Arial"/>
          <w:sz w:val="22"/>
          <w:szCs w:val="22"/>
          <w:lang w:val="en-US" w:eastAsia="en-US"/>
        </w:rPr>
        <w:fldChar w:fldCharType="end"/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 Андреј Продановић, </w:t>
      </w:r>
      <w:r>
        <w:rPr>
          <w:rFonts w:ascii="Arial" w:hAnsi="Arial" w:cs="Arial"/>
          <w:sz w:val="22"/>
          <w:szCs w:val="22"/>
          <w:lang w:val="en-US" w:eastAsia="en-US"/>
        </w:rPr>
        <w:t>e mail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>
        <w:rPr>
          <w:rFonts w:ascii="Arial" w:hAnsi="Arial" w:cs="Arial"/>
          <w:sz w:val="22"/>
          <w:szCs w:val="22"/>
          <w:lang w:val="en-US" w:eastAsia="en-US"/>
        </w:rPr>
        <w:fldChar w:fldCharType="begin"/>
      </w:r>
      <w:r>
        <w:rPr>
          <w:rFonts w:ascii="Arial" w:hAnsi="Arial" w:cs="Arial"/>
          <w:sz w:val="22"/>
          <w:szCs w:val="22"/>
          <w:lang w:val="en-US" w:eastAsia="en-US"/>
        </w:rPr>
        <w:instrText xml:space="preserve"> HYPERLINK "mailto:andrej.prodanovic@eps.rs" </w:instrText>
      </w:r>
      <w:r>
        <w:rPr>
          <w:rFonts w:ascii="Arial" w:hAnsi="Arial" w:cs="Arial"/>
          <w:sz w:val="22"/>
          <w:szCs w:val="22"/>
          <w:lang w:val="en-US" w:eastAsia="en-US"/>
        </w:rPr>
        <w:fldChar w:fldCharType="separate"/>
      </w:r>
      <w:r w:rsidRPr="000750F5">
        <w:rPr>
          <w:rStyle w:val="Hyperlink"/>
          <w:rFonts w:ascii="Arial" w:hAnsi="Arial" w:cs="Arial"/>
          <w:sz w:val="22"/>
          <w:szCs w:val="22"/>
          <w:lang w:val="en-US" w:eastAsia="en-US"/>
        </w:rPr>
        <w:t>andrej.prodanovic@eps.rs</w:t>
      </w:r>
      <w:r>
        <w:rPr>
          <w:rFonts w:ascii="Arial" w:hAnsi="Arial" w:cs="Arial"/>
          <w:sz w:val="22"/>
          <w:szCs w:val="22"/>
          <w:lang w:val="en-US" w:eastAsia="en-US"/>
        </w:rPr>
        <w:fldChar w:fldCharType="end"/>
      </w:r>
      <w:r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6690C" w:rsidRPr="00590E5A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2559925"/>
      <w:proofErr w:type="gramStart"/>
      <w:r w:rsidRPr="009016EB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016EB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9016EB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9016EB" w:rsidRPr="009016EB" w:rsidRDefault="009016EB" w:rsidP="009016E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Табела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47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21"/>
        <w:gridCol w:w="1281"/>
        <w:gridCol w:w="754"/>
        <w:gridCol w:w="757"/>
        <w:gridCol w:w="748"/>
        <w:gridCol w:w="779"/>
        <w:gridCol w:w="977"/>
        <w:gridCol w:w="1009"/>
      </w:tblGrid>
      <w:tr w:rsidR="009016EB" w:rsidRPr="009016EB" w:rsidTr="009016EB">
        <w:trPr>
          <w:trHeight w:val="1507"/>
        </w:trPr>
        <w:tc>
          <w:tcPr>
            <w:tcW w:w="36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83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72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произвођач</w:t>
            </w:r>
          </w:p>
        </w:tc>
        <w:tc>
          <w:tcPr>
            <w:tcW w:w="425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27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51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9016EB" w:rsidRPr="009016EB" w:rsidTr="009016EB">
        <w:trPr>
          <w:trHeight w:val="359"/>
        </w:trPr>
        <w:tc>
          <w:tcPr>
            <w:tcW w:w="36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83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2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ind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25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7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22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39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51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69" w:type="pct"/>
            <w:shd w:val="clear" w:color="auto" w:fill="auto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9016EB" w:rsidRPr="009016EB" w:rsidTr="009016EB">
        <w:trPr>
          <w:trHeight w:val="2365"/>
        </w:trPr>
        <w:tc>
          <w:tcPr>
            <w:tcW w:w="362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Црево,гумено ребрасто,армирано жицом са унутр.стране. Du=76mm(3 “-унутр. пречн.),L=11000 mm NP16 NO80.  Црево испоручити без прирубница.</w:t>
            </w:r>
          </w:p>
        </w:tc>
        <w:tc>
          <w:tcPr>
            <w:tcW w:w="722" w:type="pct"/>
            <w:shd w:val="clear" w:color="auto" w:fill="auto"/>
            <w:vAlign w:val="bottom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A73D0" w:rsidRPr="009016EB" w:rsidTr="00BA73D0">
        <w:trPr>
          <w:trHeight w:val="1801"/>
        </w:trPr>
        <w:tc>
          <w:tcPr>
            <w:tcW w:w="362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51DE9" w:rsidRPr="00351DE9" w:rsidRDefault="00351DE9" w:rsidP="00351DE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1DE9">
              <w:rPr>
                <w:rFonts w:ascii="Arial" w:hAnsi="Arial" w:cs="Arial"/>
                <w:sz w:val="22"/>
                <w:szCs w:val="22"/>
                <w:lang w:eastAsia="en-US"/>
              </w:rPr>
              <w:t>Прохромско ребрасто црево са металним плетењем споља и равном прирубницом на оба краја (обе прирубнице окретне).</w:t>
            </w:r>
          </w:p>
          <w:p w:rsidR="00351DE9" w:rsidRPr="00351DE9" w:rsidRDefault="00351DE9" w:rsidP="00351DE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1DE9">
              <w:rPr>
                <w:rFonts w:ascii="Arial" w:hAnsi="Arial" w:cs="Arial"/>
                <w:sz w:val="22"/>
                <w:szCs w:val="22"/>
                <w:lang w:eastAsia="en-US"/>
              </w:rPr>
              <w:t>Du = 50 mm (унутрашњи пречник)</w:t>
            </w:r>
          </w:p>
          <w:p w:rsidR="00351DE9" w:rsidRPr="00351DE9" w:rsidRDefault="00351DE9" w:rsidP="00351DE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1DE9">
              <w:rPr>
                <w:rFonts w:ascii="Arial" w:hAnsi="Arial" w:cs="Arial"/>
                <w:sz w:val="22"/>
                <w:szCs w:val="22"/>
                <w:lang w:eastAsia="en-US"/>
              </w:rPr>
              <w:t>L= 11000 mm (укупна дужина)</w:t>
            </w:r>
          </w:p>
          <w:p w:rsidR="00BA73D0" w:rsidRPr="00590E5A" w:rsidRDefault="00351DE9" w:rsidP="00351DE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51DE9">
              <w:rPr>
                <w:rFonts w:ascii="Arial" w:hAnsi="Arial" w:cs="Arial"/>
                <w:sz w:val="22"/>
                <w:szCs w:val="22"/>
                <w:lang w:eastAsia="en-US"/>
              </w:rPr>
              <w:t>NP16 NO50</w:t>
            </w:r>
          </w:p>
        </w:tc>
        <w:tc>
          <w:tcPr>
            <w:tcW w:w="722" w:type="pct"/>
            <w:shd w:val="clear" w:color="auto" w:fill="auto"/>
            <w:vAlign w:val="bottom"/>
          </w:tcPr>
          <w:p w:rsidR="00BA73D0" w:rsidRPr="009016EB" w:rsidRDefault="00BA73D0" w:rsidP="009016EB">
            <w:p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016EB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BA73D0" w:rsidRPr="009016EB" w:rsidRDefault="00BA73D0" w:rsidP="009016E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016EB" w:rsidRPr="009016EB" w:rsidRDefault="009016EB" w:rsidP="009016EB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9016EB" w:rsidRPr="009016EB" w:rsidRDefault="009016EB" w:rsidP="009016EB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9016EB" w:rsidRDefault="009016E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016EB" w:rsidRPr="009016EB" w:rsidTr="009016EB">
        <w:trPr>
          <w:trHeight w:val="418"/>
        </w:trPr>
        <w:tc>
          <w:tcPr>
            <w:tcW w:w="568" w:type="dxa"/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9016EB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016EB" w:rsidRPr="009016EB" w:rsidTr="009016E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016EB" w:rsidRPr="009016EB" w:rsidTr="009016E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9016EB" w:rsidRPr="009016EB" w:rsidRDefault="009016EB" w:rsidP="009016E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016E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016EB" w:rsidRPr="009016EB" w:rsidRDefault="009016EB" w:rsidP="009016E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016EB" w:rsidRDefault="009016EB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9016EB" w:rsidRPr="009016EB" w:rsidRDefault="009016EB" w:rsidP="009016EB">
      <w:pPr>
        <w:widowControl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016EB" w:rsidRPr="009016EB" w:rsidTr="009016EB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016EB" w:rsidRPr="009016EB" w:rsidTr="009016EB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016EB" w:rsidRPr="009016EB" w:rsidTr="009016EB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016EB" w:rsidRPr="009016EB" w:rsidRDefault="009016EB" w:rsidP="009016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9016EB" w:rsidRPr="009016EB" w:rsidRDefault="009016EB" w:rsidP="009016EB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016EB" w:rsidRPr="009016EB" w:rsidTr="009016EB">
        <w:trPr>
          <w:jc w:val="center"/>
        </w:trPr>
        <w:tc>
          <w:tcPr>
            <w:tcW w:w="3882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016EB" w:rsidRPr="009016EB" w:rsidRDefault="009016EB" w:rsidP="009016E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9016EB" w:rsidRPr="009016EB" w:rsidTr="009016EB">
        <w:trPr>
          <w:jc w:val="center"/>
        </w:trPr>
        <w:tc>
          <w:tcPr>
            <w:tcW w:w="3882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016EB" w:rsidRPr="009016EB" w:rsidRDefault="009016EB" w:rsidP="009016E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016EB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9016EB" w:rsidRPr="009016EB" w:rsidRDefault="009016EB" w:rsidP="009016E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016E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016EB" w:rsidRPr="009016EB" w:rsidRDefault="009016EB" w:rsidP="009016E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9016E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016E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016EB" w:rsidRPr="009016EB" w:rsidRDefault="009016EB" w:rsidP="009016E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016EB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016E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016EB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016EB" w:rsidRPr="009016EB" w:rsidRDefault="009016EB" w:rsidP="009016EB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6. </w:t>
      </w:r>
      <w:proofErr w:type="spellStart"/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7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8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6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016EB" w:rsidRPr="009016EB" w:rsidRDefault="009016EB" w:rsidP="009016EB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7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5</w:t>
      </w:r>
      <w:r w:rsidRPr="009016E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9016EB" w:rsidRPr="009016EB" w:rsidRDefault="009016EB" w:rsidP="009016EB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016EB" w:rsidRPr="009016EB" w:rsidRDefault="009016EB" w:rsidP="009016EB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016E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A73D0" w:rsidRDefault="00BA73D0" w:rsidP="009016EB">
      <w:pPr>
        <w:rPr>
          <w:rFonts w:ascii="Arial" w:hAnsi="Arial" w:cs="Arial"/>
          <w:sz w:val="22"/>
          <w:szCs w:val="22"/>
          <w:lang w:eastAsia="en-US"/>
        </w:rPr>
      </w:pPr>
    </w:p>
    <w:p w:rsidR="00BA73D0" w:rsidRPr="00351DE9" w:rsidRDefault="00BA73D0" w:rsidP="00351DE9">
      <w:pPr>
        <w:pStyle w:val="KDObrazac"/>
        <w:jc w:val="left"/>
        <w:rPr>
          <w:lang w:val="sr-Cyrl-RS"/>
        </w:rPr>
      </w:pPr>
    </w:p>
    <w:p w:rsidR="00C6690C" w:rsidRPr="00A632E2" w:rsidRDefault="00C6690C" w:rsidP="009016EB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A632E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02" w:rsidRDefault="00630F02" w:rsidP="00F717AF">
      <w:r>
        <w:separator/>
      </w:r>
    </w:p>
  </w:endnote>
  <w:endnote w:type="continuationSeparator" w:id="0">
    <w:p w:rsidR="00630F02" w:rsidRDefault="00630F0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F3" w:rsidRPr="00335FF3" w:rsidRDefault="00C6690C" w:rsidP="00335FF3">
    <w:pPr>
      <w:pStyle w:val="Footer"/>
      <w:rPr>
        <w:rFonts w:ascii="Arial" w:hAnsi="Arial" w:cs="Arial"/>
        <w:sz w:val="20"/>
      </w:rPr>
    </w:pPr>
    <w:r w:rsidRPr="00335FF3">
      <w:rPr>
        <w:rFonts w:ascii="Arial" w:hAnsi="Arial" w:cs="Arial"/>
        <w:sz w:val="20"/>
      </w:rPr>
      <w:t xml:space="preserve">ЈН  број </w:t>
    </w:r>
    <w:r w:rsidR="00335FF3" w:rsidRPr="00335FF3">
      <w:rPr>
        <w:rFonts w:ascii="Arial" w:hAnsi="Arial" w:cs="Arial"/>
        <w:sz w:val="20"/>
      </w:rPr>
      <w:t>3000/</w:t>
    </w:r>
    <w:r w:rsidR="00335FF3" w:rsidRPr="00335FF3">
      <w:rPr>
        <w:rFonts w:ascii="Arial" w:hAnsi="Arial" w:cs="Arial"/>
        <w:sz w:val="20"/>
        <w:lang w:val="en-US"/>
      </w:rPr>
      <w:t>0146</w:t>
    </w:r>
    <w:r w:rsidR="00335FF3" w:rsidRPr="00335FF3">
      <w:rPr>
        <w:rFonts w:ascii="Arial" w:hAnsi="Arial" w:cs="Arial"/>
        <w:sz w:val="20"/>
      </w:rPr>
      <w:t>/201</w:t>
    </w:r>
    <w:r w:rsidR="00335FF3" w:rsidRPr="00335FF3">
      <w:rPr>
        <w:rFonts w:ascii="Arial" w:hAnsi="Arial" w:cs="Arial"/>
        <w:sz w:val="20"/>
        <w:lang w:val="en-US"/>
      </w:rPr>
      <w:t>6</w:t>
    </w:r>
    <w:r w:rsidR="00335FF3" w:rsidRPr="00335FF3">
      <w:rPr>
        <w:rFonts w:ascii="Arial" w:hAnsi="Arial" w:cs="Arial"/>
        <w:sz w:val="20"/>
      </w:rPr>
      <w:t xml:space="preserve"> (</w:t>
    </w:r>
    <w:r w:rsidR="00335FF3" w:rsidRPr="00335FF3">
      <w:rPr>
        <w:rFonts w:ascii="Arial" w:hAnsi="Arial" w:cs="Arial"/>
        <w:sz w:val="20"/>
        <w:lang w:val="en-US"/>
      </w:rPr>
      <w:t>1685</w:t>
    </w:r>
    <w:r w:rsidR="00335FF3" w:rsidRPr="00335FF3">
      <w:rPr>
        <w:rFonts w:ascii="Arial" w:hAnsi="Arial" w:cs="Arial"/>
        <w:sz w:val="20"/>
      </w:rPr>
      <w:t>/201</w:t>
    </w:r>
    <w:r w:rsidR="00335FF3" w:rsidRPr="00335FF3">
      <w:rPr>
        <w:rFonts w:ascii="Arial" w:hAnsi="Arial" w:cs="Arial"/>
        <w:sz w:val="20"/>
        <w:lang w:val="en-US"/>
      </w:rPr>
      <w:t>6</w:t>
    </w:r>
    <w:r w:rsidR="00335FF3" w:rsidRPr="00335FF3">
      <w:rPr>
        <w:rFonts w:ascii="Arial" w:hAnsi="Arial" w:cs="Arial"/>
        <w:sz w:val="20"/>
      </w:rPr>
      <w:t>)</w:t>
    </w:r>
    <w:r w:rsidRPr="00335FF3">
      <w:rPr>
        <w:rFonts w:ascii="Arial" w:hAnsi="Arial" w:cs="Arial"/>
        <w:sz w:val="20"/>
      </w:rPr>
      <w:t xml:space="preserve">  </w:t>
    </w:r>
    <w:r w:rsidR="00931B1A">
      <w:rPr>
        <w:rFonts w:ascii="Arial" w:hAnsi="Arial" w:cs="Arial"/>
        <w:sz w:val="20"/>
        <w:lang w:val="sr-Cyrl-RS"/>
      </w:rPr>
      <w:t>Друга</w:t>
    </w:r>
    <w:r w:rsidRPr="00335FF3">
      <w:rPr>
        <w:rFonts w:ascii="Arial" w:hAnsi="Arial" w:cs="Arial"/>
        <w:sz w:val="20"/>
      </w:rPr>
      <w:t xml:space="preserve"> измена конкурсне документације    </w:t>
    </w:r>
    <w:r w:rsidR="00335FF3">
      <w:rPr>
        <w:rFonts w:ascii="Arial" w:hAnsi="Arial" w:cs="Arial"/>
        <w:sz w:val="20"/>
        <w:lang w:val="sr-Cyrl-RS"/>
      </w:rPr>
      <w:t xml:space="preserve">             </w:t>
    </w:r>
    <w:r w:rsidR="00335FF3" w:rsidRPr="00335FF3">
      <w:rPr>
        <w:rFonts w:ascii="Arial" w:hAnsi="Arial" w:cs="Arial"/>
        <w:sz w:val="20"/>
      </w:rPr>
      <w:t xml:space="preserve">стр.  </w:t>
    </w:r>
    <w:r w:rsidR="00335FF3" w:rsidRPr="00335FF3">
      <w:rPr>
        <w:rFonts w:ascii="Arial" w:hAnsi="Arial" w:cs="Arial"/>
        <w:sz w:val="20"/>
      </w:rPr>
      <w:fldChar w:fldCharType="begin"/>
    </w:r>
    <w:r w:rsidR="00335FF3" w:rsidRPr="00335FF3">
      <w:rPr>
        <w:rFonts w:ascii="Arial" w:hAnsi="Arial" w:cs="Arial"/>
        <w:sz w:val="20"/>
      </w:rPr>
      <w:instrText xml:space="preserve"> PAGE </w:instrText>
    </w:r>
    <w:r w:rsidR="00335FF3" w:rsidRPr="00335FF3">
      <w:rPr>
        <w:rFonts w:ascii="Arial" w:hAnsi="Arial" w:cs="Arial"/>
        <w:sz w:val="20"/>
      </w:rPr>
      <w:fldChar w:fldCharType="separate"/>
    </w:r>
    <w:r w:rsidR="00116501">
      <w:rPr>
        <w:rFonts w:ascii="Arial" w:hAnsi="Arial" w:cs="Arial"/>
        <w:noProof/>
        <w:sz w:val="20"/>
      </w:rPr>
      <w:t>8</w:t>
    </w:r>
    <w:r w:rsidR="00335FF3" w:rsidRPr="00335FF3">
      <w:rPr>
        <w:rFonts w:ascii="Arial" w:hAnsi="Arial" w:cs="Arial"/>
        <w:sz w:val="20"/>
      </w:rPr>
      <w:fldChar w:fldCharType="end"/>
    </w:r>
    <w:r w:rsidR="00335FF3" w:rsidRPr="00335FF3">
      <w:rPr>
        <w:rFonts w:ascii="Arial" w:hAnsi="Arial" w:cs="Arial"/>
        <w:sz w:val="20"/>
      </w:rPr>
      <w:t>/</w:t>
    </w:r>
    <w:r w:rsidR="00335FF3" w:rsidRPr="00335FF3">
      <w:rPr>
        <w:rFonts w:ascii="Arial" w:hAnsi="Arial" w:cs="Arial"/>
        <w:sz w:val="20"/>
      </w:rPr>
      <w:fldChar w:fldCharType="begin"/>
    </w:r>
    <w:r w:rsidR="00335FF3" w:rsidRPr="00335FF3">
      <w:rPr>
        <w:rFonts w:ascii="Arial" w:hAnsi="Arial" w:cs="Arial"/>
        <w:sz w:val="20"/>
      </w:rPr>
      <w:instrText xml:space="preserve"> NUMPAGES </w:instrText>
    </w:r>
    <w:r w:rsidR="00335FF3" w:rsidRPr="00335FF3">
      <w:rPr>
        <w:rFonts w:ascii="Arial" w:hAnsi="Arial" w:cs="Arial"/>
        <w:sz w:val="20"/>
      </w:rPr>
      <w:fldChar w:fldCharType="separate"/>
    </w:r>
    <w:r w:rsidR="00116501">
      <w:rPr>
        <w:rFonts w:ascii="Arial" w:hAnsi="Arial" w:cs="Arial"/>
        <w:noProof/>
        <w:sz w:val="20"/>
      </w:rPr>
      <w:t>8</w:t>
    </w:r>
    <w:r w:rsidR="00335FF3" w:rsidRPr="00335FF3">
      <w:rPr>
        <w:rFonts w:ascii="Arial" w:hAnsi="Arial" w:cs="Arial"/>
        <w:sz w:val="20"/>
      </w:rPr>
      <w:fldChar w:fldCharType="end"/>
    </w:r>
  </w:p>
  <w:p w:rsidR="00C6690C" w:rsidRPr="00335FF3" w:rsidRDefault="00C6690C" w:rsidP="00335FF3">
    <w:pPr>
      <w:pStyle w:val="Footer"/>
      <w:rPr>
        <w:sz w:val="20"/>
      </w:rPr>
    </w:pPr>
    <w:r w:rsidRPr="00335FF3">
      <w:rPr>
        <w:rFonts w:ascii="Arial" w:hAnsi="Arial" w:cs="Arial"/>
        <w:sz w:val="20"/>
      </w:rPr>
      <w:t xml:space="preserve">  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02" w:rsidRDefault="00630F02" w:rsidP="00F717AF">
      <w:r>
        <w:separator/>
      </w:r>
    </w:p>
  </w:footnote>
  <w:footnote w:type="continuationSeparator" w:id="0">
    <w:p w:rsidR="00630F02" w:rsidRDefault="00630F0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9016E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30F02" w:rsidP="009016E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9016EB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9016EB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9016E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9016E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9016EB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9016EB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16501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16501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25E72"/>
    <w:multiLevelType w:val="hybridMultilevel"/>
    <w:tmpl w:val="27BE0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04FC"/>
    <w:multiLevelType w:val="multilevel"/>
    <w:tmpl w:val="D4F41B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5D2681B"/>
    <w:multiLevelType w:val="hybridMultilevel"/>
    <w:tmpl w:val="92983E94"/>
    <w:lvl w:ilvl="0" w:tplc="852A03D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A78D2"/>
    <w:multiLevelType w:val="multilevel"/>
    <w:tmpl w:val="D4F41B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3CFE2954"/>
    <w:multiLevelType w:val="multilevel"/>
    <w:tmpl w:val="61545D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003535"/>
    <w:multiLevelType w:val="multilevel"/>
    <w:tmpl w:val="BF66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52442D"/>
    <w:multiLevelType w:val="hybridMultilevel"/>
    <w:tmpl w:val="B7D28F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C15"/>
    <w:multiLevelType w:val="multilevel"/>
    <w:tmpl w:val="05E44D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54A41CA"/>
    <w:multiLevelType w:val="multilevel"/>
    <w:tmpl w:val="25D0F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E7FA3"/>
    <w:multiLevelType w:val="hybridMultilevel"/>
    <w:tmpl w:val="17DA7118"/>
    <w:lvl w:ilvl="0" w:tplc="CC2651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9"/>
  </w:num>
  <w:num w:numId="7">
    <w:abstractNumId w:val="23"/>
  </w:num>
  <w:num w:numId="8">
    <w:abstractNumId w:val="16"/>
  </w:num>
  <w:num w:numId="9">
    <w:abstractNumId w:val="22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18"/>
  </w:num>
  <w:num w:numId="19">
    <w:abstractNumId w:val="3"/>
  </w:num>
  <w:num w:numId="20">
    <w:abstractNumId w:val="15"/>
  </w:num>
  <w:num w:numId="21">
    <w:abstractNumId w:val="11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F73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6501"/>
    <w:rsid w:val="00121563"/>
    <w:rsid w:val="00121B70"/>
    <w:rsid w:val="00123096"/>
    <w:rsid w:val="00123327"/>
    <w:rsid w:val="00124B01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1BA1"/>
    <w:rsid w:val="00164983"/>
    <w:rsid w:val="00175264"/>
    <w:rsid w:val="0017797D"/>
    <w:rsid w:val="00177B39"/>
    <w:rsid w:val="001801FB"/>
    <w:rsid w:val="001804F4"/>
    <w:rsid w:val="00181AB7"/>
    <w:rsid w:val="00182097"/>
    <w:rsid w:val="001831D6"/>
    <w:rsid w:val="00194967"/>
    <w:rsid w:val="00194EFD"/>
    <w:rsid w:val="001967B7"/>
    <w:rsid w:val="001B4CEC"/>
    <w:rsid w:val="001C18A0"/>
    <w:rsid w:val="001D1E7E"/>
    <w:rsid w:val="001D7E78"/>
    <w:rsid w:val="001E2633"/>
    <w:rsid w:val="001E4514"/>
    <w:rsid w:val="001E77EA"/>
    <w:rsid w:val="001F2126"/>
    <w:rsid w:val="001F4D6F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FF3"/>
    <w:rsid w:val="00344000"/>
    <w:rsid w:val="00347B45"/>
    <w:rsid w:val="00351DE9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F0C"/>
    <w:rsid w:val="00496AEA"/>
    <w:rsid w:val="00496E8C"/>
    <w:rsid w:val="004A2C3D"/>
    <w:rsid w:val="004B02FD"/>
    <w:rsid w:val="004B1035"/>
    <w:rsid w:val="004B3050"/>
    <w:rsid w:val="004C2F1C"/>
    <w:rsid w:val="004C2F2C"/>
    <w:rsid w:val="004D485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1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E5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F02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63F"/>
    <w:rsid w:val="0068525E"/>
    <w:rsid w:val="00685BC8"/>
    <w:rsid w:val="00693365"/>
    <w:rsid w:val="006A39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4C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D97"/>
    <w:rsid w:val="00807353"/>
    <w:rsid w:val="00807FDA"/>
    <w:rsid w:val="008111B6"/>
    <w:rsid w:val="008202E2"/>
    <w:rsid w:val="00823C1B"/>
    <w:rsid w:val="008272E2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16EB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B1A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270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561"/>
    <w:rsid w:val="00A52D6E"/>
    <w:rsid w:val="00A53C04"/>
    <w:rsid w:val="00A574D4"/>
    <w:rsid w:val="00A62B2C"/>
    <w:rsid w:val="00A632E2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08A"/>
    <w:rsid w:val="00AB23CE"/>
    <w:rsid w:val="00AC2253"/>
    <w:rsid w:val="00AC38D2"/>
    <w:rsid w:val="00AE1C10"/>
    <w:rsid w:val="00AF093E"/>
    <w:rsid w:val="00AF4C17"/>
    <w:rsid w:val="00AF71F8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73D0"/>
    <w:rsid w:val="00BD1125"/>
    <w:rsid w:val="00BD632A"/>
    <w:rsid w:val="00BE32E6"/>
    <w:rsid w:val="00BF10CE"/>
    <w:rsid w:val="00BF12BC"/>
    <w:rsid w:val="00BF400E"/>
    <w:rsid w:val="00BF4AA9"/>
    <w:rsid w:val="00BF515A"/>
    <w:rsid w:val="00BF65E5"/>
    <w:rsid w:val="00C0762C"/>
    <w:rsid w:val="00C1180C"/>
    <w:rsid w:val="00C11E91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AB6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4CF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53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6D2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A73D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55</cp:revision>
  <cp:lastPrinted>2017-01-18T08:19:00Z</cp:lastPrinted>
  <dcterms:created xsi:type="dcterms:W3CDTF">2015-07-01T14:16:00Z</dcterms:created>
  <dcterms:modified xsi:type="dcterms:W3CDTF">2017-01-18T10:53:00Z</dcterms:modified>
</cp:coreProperties>
</file>