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BC7854"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4A18EC">
        <w:rPr>
          <w:rFonts w:ascii="Arial" w:hAnsi="Arial"/>
          <w:lang w:val="sr-Latn-RS"/>
        </w:rPr>
        <w:t>105.</w:t>
      </w:r>
      <w:r w:rsidR="000A39B7">
        <w:rPr>
          <w:rFonts w:ascii="Arial" w:hAnsi="Arial"/>
          <w:lang w:val="sr-Cyrl-RS"/>
        </w:rPr>
        <w:t>Е</w:t>
      </w:r>
      <w:r w:rsidR="000B796E">
        <w:rPr>
          <w:rFonts w:ascii="Arial" w:hAnsi="Arial"/>
          <w:lang w:val="sr-Latn-RS"/>
        </w:rPr>
        <w:t>.03.01-215596/</w:t>
      </w:r>
      <w:r w:rsidR="003E0442">
        <w:rPr>
          <w:rFonts w:ascii="Arial" w:hAnsi="Arial"/>
          <w:lang w:val="sr-Cyrl-RS"/>
        </w:rPr>
        <w:t>2</w:t>
      </w:r>
      <w:r w:rsidR="003E0442">
        <w:rPr>
          <w:rFonts w:ascii="Arial" w:hAnsi="Arial"/>
          <w:lang w:val="sr-Latn-RS"/>
        </w:rPr>
        <w:t>5</w:t>
      </w:r>
      <w:r w:rsidR="004A18EC">
        <w:rPr>
          <w:rFonts w:ascii="Arial" w:hAnsi="Arial"/>
          <w:lang w:val="sr-Latn-RS"/>
        </w:rPr>
        <w:t>-</w:t>
      </w:r>
      <w:r w:rsidR="000A39B7">
        <w:rPr>
          <w:rFonts w:ascii="Arial" w:hAnsi="Arial"/>
          <w:lang w:val="sr-Cyrl-RS"/>
        </w:rPr>
        <w:t>20</w:t>
      </w:r>
      <w:r w:rsidR="004A18EC">
        <w:rPr>
          <w:rFonts w:ascii="Arial" w:hAnsi="Arial"/>
          <w:lang w:val="sr-Latn-RS"/>
        </w:rPr>
        <w:t>17</w:t>
      </w:r>
    </w:p>
    <w:p w:rsidR="0046231D" w:rsidRPr="003E0442" w:rsidRDefault="00F172F6" w:rsidP="0046231D">
      <w:pPr>
        <w:tabs>
          <w:tab w:val="left" w:pos="8640"/>
        </w:tabs>
        <w:spacing w:line="240" w:lineRule="auto"/>
        <w:ind w:left="-360" w:right="-19"/>
        <w:rPr>
          <w:rFonts w:ascii="Arial" w:hAnsi="Arial"/>
          <w:i/>
          <w:lang w:val="sr-Latn-RS"/>
        </w:rPr>
      </w:pPr>
      <w:r>
        <w:rPr>
          <w:rFonts w:ascii="Arial" w:hAnsi="Arial"/>
          <w:lang w:val="sr-Cyrl-RS"/>
        </w:rPr>
        <w:t xml:space="preserve">Обреновац, </w:t>
      </w:r>
      <w:r w:rsidR="003E0442">
        <w:rPr>
          <w:rFonts w:ascii="Arial" w:hAnsi="Arial"/>
          <w:lang w:val="sr-Latn-RS"/>
        </w:rPr>
        <w:t>15.06.2017</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480824">
        <w:rPr>
          <w:rFonts w:ascii="Arial" w:hAnsi="Arial"/>
          <w:iCs/>
        </w:rPr>
        <w:t>е</w:t>
      </w:r>
      <w:r w:rsidR="008C28EE" w:rsidRPr="00D97D88">
        <w:rPr>
          <w:rFonts w:ascii="Arial" w:hAnsi="Arial"/>
          <w:iCs/>
        </w:rPr>
        <w:t>ни гл</w:t>
      </w:r>
      <w:r w:rsidR="00480824">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7B11EC" w:rsidRPr="007B11EC">
        <w:rPr>
          <w:rFonts w:ascii="Arial" w:hAnsi="Arial"/>
        </w:rPr>
        <w:t>3000/0654/2016 (109/2016,1175/2016,1199/2016,2100/2016)</w:t>
      </w:r>
      <w:r w:rsidRPr="00D97D88">
        <w:rPr>
          <w:rFonts w:ascii="Arial" w:hAnsi="Arial"/>
          <w:lang w:val="ru-RU"/>
        </w:rPr>
        <w:t xml:space="preserve">, </w:t>
      </w:r>
      <w:r w:rsidRPr="00D97D88">
        <w:rPr>
          <w:rFonts w:ascii="Arial" w:hAnsi="Arial"/>
        </w:rPr>
        <w:t>за набавку</w:t>
      </w:r>
      <w:r w:rsidR="007B11EC">
        <w:rPr>
          <w:rFonts w:ascii="Arial" w:hAnsi="Arial"/>
          <w:lang w:val="sr-Cyrl-RS"/>
        </w:rPr>
        <w:t xml:space="preserve"> добара:</w:t>
      </w:r>
      <w:r w:rsidRPr="00D97D88">
        <w:rPr>
          <w:rFonts w:ascii="Arial" w:hAnsi="Arial"/>
        </w:rPr>
        <w:t xml:space="preserve"> </w:t>
      </w:r>
      <w:r w:rsidR="007B11EC">
        <w:rPr>
          <w:rFonts w:ascii="Arial" w:hAnsi="Arial"/>
          <w:lang w:val="sr-Cyrl-RS"/>
        </w:rPr>
        <w:t>Лежајеви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14222">
        <w:rPr>
          <w:rFonts w:ascii="Arial" w:hAnsi="Arial"/>
          <w:b/>
          <w:iCs/>
          <w:lang w:val="sr-Cyrl-RS"/>
        </w:rPr>
        <w:t>1</w:t>
      </w:r>
      <w:r w:rsidR="000B796E">
        <w:rPr>
          <w:rFonts w:ascii="Arial" w:hAnsi="Arial"/>
          <w:b/>
          <w:iCs/>
          <w:lang w:val="sr-Latn-RS"/>
        </w:rPr>
        <w:t>2</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5809B2" w:rsidP="002A2D9F">
      <w:pPr>
        <w:spacing w:before="240" w:after="240" w:line="240" w:lineRule="auto"/>
        <w:rPr>
          <w:rFonts w:ascii="Arial" w:hAnsi="Arial"/>
          <w:iCs/>
          <w:lang w:val="sr-Cyrl-RS"/>
        </w:rPr>
      </w:pPr>
      <w:r>
        <w:rPr>
          <w:rFonts w:ascii="Arial" w:hAnsi="Arial"/>
          <w:iCs/>
          <w:lang w:val="sr-Cyrl-RS"/>
        </w:rPr>
        <w:t>П</w:t>
      </w:r>
      <w:r w:rsidR="00823373" w:rsidRPr="00D97D88">
        <w:rPr>
          <w:rFonts w:ascii="Arial" w:hAnsi="Arial"/>
          <w:iCs/>
        </w:rPr>
        <w:t xml:space="preserve">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00823373"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00823373" w:rsidRPr="00D97D88">
        <w:rPr>
          <w:rFonts w:ascii="Arial" w:hAnsi="Arial"/>
          <w:iCs/>
        </w:rPr>
        <w:t>следеће информације, односно појашњења:</w:t>
      </w:r>
    </w:p>
    <w:p w:rsidR="00CB49A8" w:rsidRDefault="005809B2" w:rsidP="003317EC">
      <w:pPr>
        <w:rPr>
          <w:rFonts w:ascii="Arial" w:hAnsi="Arial"/>
          <w:b/>
          <w:iCs/>
          <w:lang w:val="sr-Latn-RS"/>
        </w:rPr>
      </w:pPr>
      <w:r>
        <w:rPr>
          <w:rFonts w:ascii="Arial" w:hAnsi="Arial"/>
          <w:b/>
          <w:iCs/>
        </w:rPr>
        <w:t>ПИТАЊЕ</w:t>
      </w:r>
      <w:r w:rsidR="00EF00A1">
        <w:rPr>
          <w:rFonts w:ascii="Arial" w:hAnsi="Arial"/>
          <w:b/>
          <w:iCs/>
          <w:lang w:val="sr-Latn-RS"/>
        </w:rPr>
        <w:t xml:space="preserve"> 1</w:t>
      </w:r>
      <w:r>
        <w:rPr>
          <w:rFonts w:ascii="Arial" w:hAnsi="Arial"/>
          <w:b/>
          <w:iCs/>
        </w:rPr>
        <w:t xml:space="preserve"> </w:t>
      </w:r>
      <w:r w:rsidR="00823373" w:rsidRPr="00DD00B0">
        <w:rPr>
          <w:rFonts w:ascii="Arial" w:hAnsi="Arial"/>
          <w:b/>
          <w:iCs/>
        </w:rPr>
        <w:t>:</w:t>
      </w:r>
    </w:p>
    <w:p w:rsidR="00F34053" w:rsidRPr="00F34053" w:rsidRDefault="00F34053" w:rsidP="00F34053">
      <w:pPr>
        <w:spacing w:line="240" w:lineRule="auto"/>
        <w:jc w:val="left"/>
        <w:rPr>
          <w:rFonts w:ascii="Arial" w:eastAsia="Calibri" w:hAnsi="Arial"/>
          <w:lang w:val="sr-Cyrl-RS" w:eastAsia="sr-Latn-RS"/>
        </w:rPr>
      </w:pPr>
      <w:r w:rsidRPr="00F34053">
        <w:rPr>
          <w:rFonts w:ascii="Arial" w:eastAsia="Calibri" w:hAnsi="Arial"/>
          <w:lang w:val="sr-Cyrl-RS" w:eastAsia="sr-Latn-RS"/>
        </w:rPr>
        <w:t xml:space="preserve">U konkursnoj dokumentaciji na stranama 46 i 47, kako naručilac i potvrđuje u odgovoru, stoji da će karakteristike isporučenih ležajeva poveriti akreditovanoj ustanovi i to nije sporno. Sporno je to što naručilac propisuje nadležnost druge, pri tom nezavisne, laboratorije koja će izvršiti kontrolu te da će nakon te kontrole „Odluka nezavisne laboratorije biće konačna“ U modelu ugovora u Članu 8. Naručilac propisuje postupanje za slučaj da se prodavac ne slaže sa radnjama Kupca u vezi kvalitativnog prijema. Prema članu 8. ugovora  u slučaju neslaganja „kontrolu izvršene isporuke dobara izvršiće nezavisna laboratorije odobrena od strane Prodavca i Kupca“. </w:t>
      </w:r>
    </w:p>
    <w:p w:rsidR="00F34053" w:rsidRPr="00F34053" w:rsidRDefault="00F34053" w:rsidP="00F34053">
      <w:pPr>
        <w:spacing w:line="240" w:lineRule="auto"/>
        <w:jc w:val="left"/>
        <w:rPr>
          <w:rFonts w:ascii="Arial" w:eastAsia="Calibri" w:hAnsi="Arial"/>
          <w:lang w:val="sr-Cyrl-RS" w:eastAsia="sr-Latn-RS"/>
        </w:rPr>
      </w:pPr>
    </w:p>
    <w:p w:rsidR="00F34053" w:rsidRPr="00F34053" w:rsidRDefault="00F34053" w:rsidP="00F34053">
      <w:pPr>
        <w:spacing w:line="240" w:lineRule="auto"/>
        <w:jc w:val="left"/>
        <w:rPr>
          <w:rFonts w:ascii="Arial" w:eastAsia="Calibri" w:hAnsi="Arial"/>
          <w:lang w:val="sr-Cyrl-RS" w:eastAsia="sr-Latn-RS"/>
        </w:rPr>
      </w:pPr>
      <w:r w:rsidRPr="00F34053">
        <w:rPr>
          <w:rFonts w:ascii="Arial" w:eastAsia="Calibri" w:hAnsi="Arial"/>
          <w:lang w:val="sr-Cyrl-RS" w:eastAsia="sr-Latn-RS"/>
        </w:rPr>
        <w:t>Naručioca smo upozorili na to da su za poslove ispitivanja ležajeva u srbiji akreditovane  dve laboratorije. Ukazali smo naručiocu na konkretne Zakone i tehničke propise koji regullišu oblas ocenjivanja usaglašenosti predmeta nabavke. Nezavisna laboratorija, niti bilo koja druga laboratorija ne može donositi „Odluke“, posebno ne one koje bi za posledicu imale poništenje Zaključka koji sačini akreditovana laboratorija nakon sprovedenog ispitivanja. Jedina mogućnost korisniku koji se ne složi sa zaključkom akreditovane laboratorije jeste da zahteva da se reatestiranje ispitanih uzoraka poveri drugoj akreditovanoj laboratoriji. Zakon i praksa u slučajevima kada postoji Telo za ocenjivanje usaglašenosti neće prednost dati ispitivanju u nazavisnim laboratorijama. Iz tog razloga model ugovora koji propisuje da će nezavisna laboratorija dati konačnu odluku o usaglašenosti nije u skladu sa zakonima i praksom.</w:t>
      </w:r>
    </w:p>
    <w:p w:rsidR="00F34053" w:rsidRPr="00F34053" w:rsidRDefault="00F34053" w:rsidP="00F34053">
      <w:pPr>
        <w:spacing w:line="240" w:lineRule="auto"/>
        <w:jc w:val="left"/>
        <w:rPr>
          <w:rFonts w:ascii="Arial" w:eastAsia="Calibri" w:hAnsi="Arial"/>
          <w:lang w:val="sr-Cyrl-RS" w:eastAsia="sr-Latn-RS"/>
        </w:rPr>
      </w:pPr>
    </w:p>
    <w:p w:rsidR="00F34053" w:rsidRPr="00F34053" w:rsidRDefault="00F34053" w:rsidP="00F34053">
      <w:pPr>
        <w:spacing w:line="240" w:lineRule="auto"/>
        <w:jc w:val="left"/>
        <w:rPr>
          <w:rFonts w:ascii="Arial" w:eastAsia="Calibri" w:hAnsi="Arial"/>
          <w:lang w:val="sr-Cyrl-RS" w:eastAsia="sr-Latn-RS"/>
        </w:rPr>
      </w:pPr>
      <w:r w:rsidRPr="00F34053">
        <w:rPr>
          <w:rFonts w:ascii="Arial" w:eastAsia="Calibri" w:hAnsi="Arial"/>
          <w:lang w:val="sr-Cyrl-RS" w:eastAsia="sr-Latn-RS"/>
        </w:rPr>
        <w:t xml:space="preserve">Naše prethodno pitanje se odnosilo na nadležnost nezavisne laboratorije i poslove koje će joj naručilac poveriti. Naručilac nije dao odgovor na to pitanje pa ga upozoravamo da ima zakonsku obavezu da razjasni svaki eventualno nejasan deo konkursne dokumentacije. U suprotnom bićemo prinuđeni da štitimo prava koja nam po zakonu pripadaju. Umesto da odgovori na to pitanje naručilac nas obaveštava o onome što nije predmet zahteva za pojašnjenje. </w:t>
      </w:r>
    </w:p>
    <w:p w:rsidR="00F34053" w:rsidRPr="00F34053" w:rsidRDefault="00F34053" w:rsidP="00F34053">
      <w:pPr>
        <w:spacing w:line="240" w:lineRule="auto"/>
        <w:jc w:val="left"/>
        <w:rPr>
          <w:rFonts w:ascii="Arial" w:eastAsia="Calibri" w:hAnsi="Arial"/>
          <w:lang w:val="sr-Cyrl-RS" w:eastAsia="sr-Latn-RS"/>
        </w:rPr>
      </w:pPr>
      <w:r w:rsidRPr="00F34053">
        <w:rPr>
          <w:rFonts w:ascii="Arial" w:eastAsia="Calibri" w:hAnsi="Arial"/>
          <w:lang w:val="sr-Cyrl-RS" w:eastAsia="sr-Latn-RS"/>
        </w:rPr>
        <w:t xml:space="preserve"> </w:t>
      </w:r>
    </w:p>
    <w:p w:rsidR="00F34053" w:rsidRDefault="00F34053" w:rsidP="00F34053">
      <w:pPr>
        <w:spacing w:line="240" w:lineRule="auto"/>
        <w:jc w:val="left"/>
        <w:rPr>
          <w:rFonts w:ascii="Arial" w:eastAsia="Calibri" w:hAnsi="Arial"/>
          <w:lang w:val="sr-Latn-RS" w:eastAsia="sr-Latn-RS"/>
        </w:rPr>
      </w:pPr>
      <w:r w:rsidRPr="00F34053">
        <w:rPr>
          <w:rFonts w:ascii="Arial" w:eastAsia="Calibri" w:hAnsi="Arial"/>
          <w:lang w:val="sr-Cyrl-RS" w:eastAsia="sr-Latn-RS"/>
        </w:rPr>
        <w:t xml:space="preserve">Nakon dgovora koji smo dobili pažljivo smo pregledali tehničku specifikaciju. Već na prvio pogled je vidljivo da je naručilac posebne zahteve za 254 pozicije propisao prema opštim informacijama o </w:t>
      </w:r>
    </w:p>
    <w:p w:rsidR="00F34053" w:rsidRDefault="00F34053" w:rsidP="00F34053">
      <w:pPr>
        <w:spacing w:line="240" w:lineRule="auto"/>
        <w:jc w:val="left"/>
        <w:rPr>
          <w:rFonts w:ascii="Arial" w:eastAsia="Calibri" w:hAnsi="Arial"/>
          <w:lang w:val="sr-Latn-RS" w:eastAsia="sr-Latn-RS"/>
        </w:rPr>
      </w:pPr>
    </w:p>
    <w:p w:rsidR="00F34053" w:rsidRDefault="00F34053" w:rsidP="00F34053">
      <w:pPr>
        <w:spacing w:line="240" w:lineRule="auto"/>
        <w:jc w:val="left"/>
        <w:rPr>
          <w:rFonts w:ascii="Arial" w:eastAsia="Calibri" w:hAnsi="Arial"/>
          <w:lang w:val="sr-Latn-RS" w:eastAsia="sr-Latn-RS"/>
        </w:rPr>
      </w:pPr>
    </w:p>
    <w:p w:rsidR="00F34053" w:rsidRPr="00F34053" w:rsidRDefault="00F34053" w:rsidP="00F34053">
      <w:pPr>
        <w:spacing w:line="240" w:lineRule="auto"/>
        <w:jc w:val="left"/>
        <w:rPr>
          <w:rFonts w:ascii="Arial" w:eastAsia="Calibri" w:hAnsi="Arial"/>
          <w:lang w:val="sr-Cyrl-RS" w:eastAsia="sr-Latn-RS"/>
        </w:rPr>
      </w:pPr>
      <w:r w:rsidRPr="00F34053">
        <w:rPr>
          <w:rFonts w:ascii="Arial" w:eastAsia="Calibri" w:hAnsi="Arial"/>
          <w:lang w:val="sr-Cyrl-RS" w:eastAsia="sr-Latn-RS"/>
        </w:rPr>
        <w:t xml:space="preserve">proizvodima u SKF katalogu. Na primer. U SKF katalogu  http://www.skf.com/binary/12-121486/SKF%20rolling%20bearings%20catalogue_tcm_12-121486.pdf?WT.oss=Catalog&amp;WT.z_oss_boost=1&amp;tabname=All&amp;WT.z_oss_rank=1  na strani 584 stoji za cilindrično valjčane ležajeve Normal dimensional, geometrical tolerance P6. Naručilac za taj tip ležaja na pozicijama 273-329 propisuje Dimenzije normalna tolerancija, Geometrijska tolerancija P6. </w:t>
      </w:r>
    </w:p>
    <w:p w:rsidR="00F34053" w:rsidRPr="00F34053" w:rsidRDefault="00F34053" w:rsidP="00F34053">
      <w:pPr>
        <w:spacing w:line="240" w:lineRule="auto"/>
        <w:jc w:val="left"/>
        <w:rPr>
          <w:rFonts w:ascii="Arial" w:eastAsia="Calibri" w:hAnsi="Arial"/>
          <w:lang w:val="sr-Cyrl-RS" w:eastAsia="sr-Latn-RS"/>
        </w:rPr>
      </w:pPr>
      <w:r w:rsidRPr="00F34053">
        <w:rPr>
          <w:rFonts w:ascii="Arial" w:eastAsia="Calibri" w:hAnsi="Arial"/>
          <w:lang w:val="sr-Cyrl-RS" w:eastAsia="sr-Latn-RS"/>
        </w:rPr>
        <w:t xml:space="preserve">Kod kugličnih ležajeva na pozicijama 1-139 naručilac propisuje Dimenzije tolerancija P6, Geometrijska tolerancija P6, upravo onako kako stoji u SKF katalogu. Kako to da je kod ležajeva cilindrično valjkastog tipa koji se ugrađuju u pumpe i najzahtevnija mesta ugradnje tolerancija dimenzija prihvatljiva normalna klasa a ne P6 kako se zahteva za kugl ične ležajeve. </w:t>
      </w:r>
    </w:p>
    <w:p w:rsidR="002D5B65" w:rsidRPr="002D5B65" w:rsidRDefault="00F34053" w:rsidP="00F34053">
      <w:pPr>
        <w:spacing w:line="240" w:lineRule="auto"/>
        <w:jc w:val="left"/>
        <w:rPr>
          <w:rFonts w:ascii="Calibri" w:eastAsia="Calibri" w:hAnsi="Calibri" w:cs="Times New Roman"/>
          <w:lang w:val="sr-Latn-RS"/>
        </w:rPr>
      </w:pPr>
      <w:r w:rsidRPr="00F34053">
        <w:rPr>
          <w:rFonts w:ascii="Arial" w:eastAsia="Calibri" w:hAnsi="Arial"/>
          <w:lang w:val="sr-Cyrl-RS" w:eastAsia="sr-Latn-RS"/>
        </w:rPr>
        <w:t>Namera naručioca da jednom od zainteresovanih lica da prednost je upadljiva na gotovo 400 pozicija i to će u zahttevu za zaštitu prava biti posebno obrazloženo, ukoliko naručilac konkursnu dokumentaciju ne izmeni na način da svi ponuđači imaju jasne zahteve i da su u jednakom položaju.</w:t>
      </w:r>
    </w:p>
    <w:p w:rsidR="002D5B65" w:rsidRDefault="002D5B65" w:rsidP="002D5B65">
      <w:pPr>
        <w:spacing w:line="240" w:lineRule="auto"/>
        <w:jc w:val="left"/>
        <w:rPr>
          <w:rFonts w:ascii="Arial" w:eastAsia="Calibri" w:hAnsi="Arial"/>
          <w:lang w:val="sr-Latn-RS"/>
        </w:rPr>
      </w:pPr>
    </w:p>
    <w:p w:rsidR="00EF00A1" w:rsidRPr="00EF00A1" w:rsidRDefault="00EF00A1" w:rsidP="00EF00A1">
      <w:pPr>
        <w:spacing w:line="240" w:lineRule="auto"/>
        <w:jc w:val="left"/>
        <w:rPr>
          <w:rFonts w:ascii="Arial" w:eastAsia="Calibri" w:hAnsi="Arial"/>
          <w:b/>
          <w:bCs/>
          <w:lang w:val="sr-Latn-RS" w:eastAsia="sr-Latn-RS"/>
        </w:rPr>
      </w:pPr>
      <w:r w:rsidRPr="00EF00A1">
        <w:rPr>
          <w:rFonts w:ascii="Arial" w:eastAsia="Calibri" w:hAnsi="Arial"/>
          <w:b/>
          <w:bCs/>
          <w:lang w:val="sr-Cyrl-RS" w:eastAsia="sr-Latn-RS"/>
        </w:rPr>
        <w:t>ОДГОВОР</w:t>
      </w:r>
      <w:r w:rsidRPr="00EF00A1">
        <w:rPr>
          <w:rFonts w:ascii="Arial" w:eastAsia="Calibri" w:hAnsi="Arial"/>
          <w:b/>
          <w:bCs/>
          <w:lang w:val="sr-Latn-RS" w:eastAsia="sr-Latn-RS"/>
        </w:rPr>
        <w:t xml:space="preserve"> </w:t>
      </w:r>
      <w:r w:rsidR="00223C8E">
        <w:rPr>
          <w:rFonts w:ascii="Arial" w:eastAsia="Calibri" w:hAnsi="Arial"/>
          <w:b/>
          <w:bCs/>
          <w:lang w:val="sr-Cyrl-RS" w:eastAsia="sr-Latn-RS"/>
        </w:rPr>
        <w:t>1</w:t>
      </w:r>
      <w:r w:rsidRPr="00EF00A1">
        <w:rPr>
          <w:rFonts w:ascii="Arial" w:eastAsia="Calibri" w:hAnsi="Arial"/>
          <w:b/>
          <w:bCs/>
          <w:lang w:val="sr-Cyrl-RS" w:eastAsia="sr-Latn-RS"/>
        </w:rPr>
        <w:t>:</w:t>
      </w:r>
    </w:p>
    <w:p w:rsidR="00EF00A1" w:rsidRPr="00EF00A1" w:rsidRDefault="00EF00A1" w:rsidP="00A8596A">
      <w:pPr>
        <w:spacing w:line="240" w:lineRule="auto"/>
        <w:jc w:val="left"/>
        <w:rPr>
          <w:lang w:val="sr-Latn-RS"/>
        </w:rPr>
      </w:pPr>
    </w:p>
    <w:p w:rsidR="00223C8E" w:rsidRPr="00904026" w:rsidRDefault="00223C8E" w:rsidP="00223C8E">
      <w:pPr>
        <w:rPr>
          <w:rFonts w:ascii="Arial" w:hAnsi="Arial"/>
          <w:lang w:val="sr-Cyrl-RS"/>
        </w:rPr>
      </w:pPr>
      <w:r w:rsidRPr="00904026">
        <w:rPr>
          <w:rFonts w:ascii="Arial" w:hAnsi="Arial"/>
          <w:lang w:val="sr-Cyrl-RS"/>
        </w:rPr>
        <w:t xml:space="preserve">Уколико се Продавац не слаже са резултатима извршеног квалитативног пријема Наручиоца, контролу </w:t>
      </w:r>
      <w:r w:rsidRPr="00904026">
        <w:rPr>
          <w:rFonts w:ascii="Arial" w:hAnsi="Arial"/>
          <w:bCs/>
        </w:rPr>
        <w:t xml:space="preserve">извршене испоруке добара извршиће независна акредитована лабораторија, одобрена од стране Продавца и </w:t>
      </w:r>
      <w:r w:rsidRPr="00904026">
        <w:rPr>
          <w:rFonts w:ascii="Arial" w:hAnsi="Arial"/>
        </w:rPr>
        <w:t>Купца</w:t>
      </w:r>
      <w:r>
        <w:rPr>
          <w:rFonts w:ascii="Arial" w:hAnsi="Arial"/>
          <w:bCs/>
        </w:rPr>
        <w:t>, након чега ће се донети коначна одлука у вези квалитета испоручених добара.</w:t>
      </w:r>
    </w:p>
    <w:p w:rsidR="00223C8E" w:rsidRDefault="00223C8E" w:rsidP="00223C8E">
      <w:pPr>
        <w:spacing w:line="240" w:lineRule="auto"/>
        <w:jc w:val="left"/>
        <w:rPr>
          <w:rFonts w:ascii="Arial" w:hAnsi="Arial"/>
          <w:lang w:val="sr-Cyrl-RS"/>
        </w:rPr>
      </w:pPr>
      <w:r w:rsidRPr="00904026">
        <w:rPr>
          <w:rFonts w:ascii="Arial" w:hAnsi="Arial"/>
        </w:rPr>
        <w:t>При изради конкурсне документације коришћени су доступни каталози у штампаној форми и он-лине форми. Увидом се установило да велики број произвођача котрљајућих лежајева наводи да производе лежајеве у нормалним и суженим толеранцијама. Одређени број произвођача у свом производном програм има читаве серије производа у ткз. Премијум, High-performance или Extreme класи за које наводе да су произведени произведени са суженим толеранцијама, нпр. SKF Explorer, FAG X-life, NTN Ultage. Kако већи број  понуђача по соственим наводима може да испуни постављене техничке захтеве, начело обезбеђења конкуренције је у потпуности поштовано.</w:t>
      </w:r>
      <w:r w:rsidRPr="00904026">
        <w:t xml:space="preserve"> </w:t>
      </w:r>
      <w:r w:rsidRPr="00904026">
        <w:br/>
      </w:r>
      <w:r w:rsidRPr="00904026">
        <w:rPr>
          <w:rFonts w:ascii="Arial" w:hAnsi="Arial"/>
        </w:rPr>
        <w:t xml:space="preserve">У конкурсној документацији су захтеване одређене геометријске толеранције. Дефиниције и вредности геометријских толеранција у захтеваним класама наведене у су стандарду СРПС </w:t>
      </w:r>
    </w:p>
    <w:p w:rsidR="00223C8E" w:rsidRDefault="00223C8E" w:rsidP="00223C8E">
      <w:pPr>
        <w:spacing w:line="240" w:lineRule="auto"/>
        <w:jc w:val="left"/>
        <w:rPr>
          <w:rFonts w:ascii="Arial" w:hAnsi="Arial"/>
          <w:lang w:val="sr-Cyrl-RS"/>
        </w:rPr>
      </w:pPr>
    </w:p>
    <w:p w:rsidR="00223C8E" w:rsidRPr="00223C8E" w:rsidRDefault="00223C8E" w:rsidP="00223C8E">
      <w:pPr>
        <w:spacing w:line="240" w:lineRule="auto"/>
        <w:jc w:val="left"/>
        <w:rPr>
          <w:rFonts w:ascii="Arial" w:hAnsi="Arial"/>
          <w:lang w:val="sr-Cyrl-RS"/>
        </w:rPr>
      </w:pPr>
    </w:p>
    <w:p w:rsidR="00EF00A1" w:rsidRDefault="00223C8E" w:rsidP="00223C8E">
      <w:pPr>
        <w:spacing w:line="240" w:lineRule="auto"/>
        <w:jc w:val="left"/>
        <w:rPr>
          <w:lang w:val="sr-Latn-RS"/>
        </w:rPr>
      </w:pPr>
      <w:r w:rsidRPr="00904026">
        <w:rPr>
          <w:rFonts w:ascii="Arial" w:hAnsi="Arial"/>
        </w:rPr>
        <w:t>ИСО 492:2015.</w:t>
      </w:r>
      <w:r w:rsidRPr="00904026">
        <w:t xml:space="preserve"> </w:t>
      </w:r>
      <w:r w:rsidRPr="00904026">
        <w:br/>
      </w:r>
      <w:r w:rsidRPr="00904026">
        <w:rPr>
          <w:rFonts w:ascii="Arial" w:hAnsi="Arial"/>
        </w:rPr>
        <w:t>Геометријске карактеристике лежајева су заиста шири појам од захтеваних геометријских толеранција.</w:t>
      </w:r>
      <w:r w:rsidR="00DF4CC6">
        <w:t xml:space="preserve"> </w:t>
      </w:r>
    </w:p>
    <w:p w:rsidR="00DF4CC6" w:rsidRDefault="00DF4CC6" w:rsidP="00223C8E">
      <w:pPr>
        <w:spacing w:line="240" w:lineRule="auto"/>
        <w:jc w:val="left"/>
        <w:rPr>
          <w:lang w:val="sr-Latn-RS"/>
        </w:rPr>
      </w:pPr>
    </w:p>
    <w:p w:rsidR="00DF4CC6" w:rsidRDefault="00DF4CC6" w:rsidP="00223C8E">
      <w:pPr>
        <w:spacing w:line="240" w:lineRule="auto"/>
        <w:jc w:val="left"/>
        <w:rPr>
          <w:rFonts w:ascii="Arial" w:hAnsi="Arial"/>
          <w:b/>
          <w:iCs/>
          <w:lang w:val="sr-Latn-RS"/>
        </w:rPr>
      </w:pPr>
      <w:r>
        <w:rPr>
          <w:rFonts w:ascii="Arial" w:hAnsi="Arial"/>
          <w:b/>
          <w:iCs/>
        </w:rPr>
        <w:t>ПИТАЊЕ</w:t>
      </w:r>
      <w:r>
        <w:rPr>
          <w:rFonts w:ascii="Arial" w:hAnsi="Arial"/>
          <w:b/>
          <w:iCs/>
          <w:lang w:val="sr-Latn-RS"/>
        </w:rPr>
        <w:t xml:space="preserve"> 2:</w:t>
      </w:r>
    </w:p>
    <w:p w:rsidR="00DF4CC6" w:rsidRDefault="00DF4CC6" w:rsidP="00223C8E">
      <w:pPr>
        <w:spacing w:line="240" w:lineRule="auto"/>
        <w:jc w:val="left"/>
        <w:rPr>
          <w:rFonts w:ascii="Arial" w:hAnsi="Arial"/>
          <w:b/>
          <w:iCs/>
          <w:lang w:val="sr-Latn-RS"/>
        </w:rPr>
      </w:pPr>
    </w:p>
    <w:p w:rsidR="00DF4CC6" w:rsidRDefault="00DF4CC6" w:rsidP="00223C8E">
      <w:pPr>
        <w:spacing w:line="240" w:lineRule="auto"/>
        <w:jc w:val="left"/>
        <w:rPr>
          <w:rFonts w:ascii="Arial" w:hAnsi="Arial"/>
          <w:iCs/>
          <w:lang w:val="sr-Cyrl-RS"/>
        </w:rPr>
      </w:pPr>
      <w:r w:rsidRPr="00DF4CC6">
        <w:rPr>
          <w:rFonts w:ascii="Arial" w:hAnsi="Arial"/>
          <w:iCs/>
          <w:lang w:val="sr-Latn-RS"/>
        </w:rPr>
        <w:t xml:space="preserve">Naručilac je jedno od zavisnih preduzeća EPS sa opremom koja se održava prema istim protokolima kao i oprema drugih zavisnih preduzeća EPS, koja imaju usaglašenu i u jednom delu opremu jednaku opremi u termoelektranama za koje TENT A nabavlja rezzervne delove. Za razliku od termoelektrana TE-KO A, TE-KO B, Drimsko Limskih elektrana, hidroelektrane Đerdap, Panonskih TE-TO i drugih preduzeća iz okvira EPS, naručilac zahteva isporuku 254 pozicije ležajeva u specijalnim izvedbama, odnosno tolerancijama izrade. Ležajeve prema konkretnom zahtevu naručioca proizvode gotovo svi proizvođači ležajeva, ali isključivo na poseban zahtev kupca. Za to pored ekonomskih postoje i tehnički rrazlozi. Jedan od razloga je vidljiv i u samoj konkursnoj dokumentaciji gde naručilac postavlja uslov da ležajevi ne mogu biti stariji od 5 godina. Naručilac je već upozoren na činjenicu da je zahtev za isporuku 254 pozicije ležajeva specijalne preciznosti u roku od 30 dana takav da ga ne mogu ispuniti ni najveći svetski proizvođači ležajeva. Na upozorenje da takav zahtev ne odražava objektivne potrebe naručioca naručilac je dao paušalan odgovor u vezi pozdanijeg rada, smanjenja </w:t>
      </w:r>
    </w:p>
    <w:p w:rsidR="00DF4CC6" w:rsidRDefault="00DF4CC6" w:rsidP="00223C8E">
      <w:pPr>
        <w:spacing w:line="240" w:lineRule="auto"/>
        <w:jc w:val="left"/>
        <w:rPr>
          <w:rFonts w:ascii="Arial" w:hAnsi="Arial"/>
          <w:iCs/>
          <w:lang w:val="sr-Cyrl-RS"/>
        </w:rPr>
      </w:pPr>
    </w:p>
    <w:p w:rsidR="00DF4CC6" w:rsidRPr="00DF4CC6" w:rsidRDefault="00DF4CC6" w:rsidP="00223C8E">
      <w:pPr>
        <w:spacing w:line="240" w:lineRule="auto"/>
        <w:jc w:val="left"/>
        <w:rPr>
          <w:rFonts w:ascii="Arial" w:hAnsi="Arial"/>
          <w:iCs/>
          <w:lang w:val="sr-Latn-RS"/>
        </w:rPr>
      </w:pPr>
      <w:r w:rsidRPr="00DF4CC6">
        <w:rPr>
          <w:rFonts w:ascii="Arial" w:hAnsi="Arial"/>
          <w:iCs/>
          <w:lang w:val="sr-Latn-RS"/>
        </w:rPr>
        <w:t>buke postrojenja i slično. Zakon propisuje da svaki zahtev naručioca mora biti u logičkoj vezi sa predmetom nabavke. Ako je zakonodavac mislio na konkretan predmet nabavke onda je naručilac dužan da za svaku od 254 pozicije gde zahteva ležaj u specijalnoj izvedbi zasebno analizira zahtev za izvršenje posla. To bi bilo logično i neophodno jer, prema Prilogu 2, naručilac ležaj sa pozicije 354, 22218 na primer, ugrađuje u četiri termoelektrane, pretpostavljamo na više mesta ugradnje sa verovatno različitim zahtevima za izvršenje posla. Bez specijalnih uslova naručilac iste ležajeve koristi decenijama pa je za očekivati da su novi uslovi posledica prertrpljenih havarija usled preranih otkaza ležajeva, profesionalnih bolesti operatera zbog povećane buke od ležajeva i slično. Ako ne postoje podaci o većem broju otkaza u garantnom roku, havarija u postgarantnom roku, povredama ili profesionalnim oboljenjima operatera nije jasno na osnovu čega TENT A u svoje i u ime druge tri termoelektrane bez prethodne najve, logičnog obrazloženja i određivanja primerenog roka za isporuku ležajeva u specijalnim izvedbama i tolerancijama koji su uže od normalnih, kako ih karakteriše važeći srpski tehnički propis Pravilnik o tehničkim zahtevima za kotrljajne ležajeve. Naručilac, prema našem saznanju, nije promenio, barem ne u značajnoj meri, opremu u koju pojedinačno ugrađuje svaki od 36 komada zahtevanih ležajeva na poziciji 354, pa se ne može uzeti za logično da ni jedan od 36 komada ležajeva na jednoj od 254 pozicije sa specijalnim zahtevima, neće biti odgovarajući iako ispunjava sve zahteve srpskog tehničkog propisa i koji je izrađen u normalnim tolerancijama koje Pravilnik propisuje.</w:t>
      </w:r>
    </w:p>
    <w:p w:rsidR="00DF4CC6" w:rsidRPr="00DF4CC6" w:rsidRDefault="00DF4CC6" w:rsidP="00223C8E">
      <w:pPr>
        <w:spacing w:line="240" w:lineRule="auto"/>
        <w:jc w:val="left"/>
        <w:rPr>
          <w:rFonts w:ascii="Arial" w:hAnsi="Arial"/>
          <w:iCs/>
          <w:lang w:val="sr-Latn-RS"/>
        </w:rPr>
      </w:pPr>
    </w:p>
    <w:p w:rsidR="00DF4CC6" w:rsidRPr="00EF00A1" w:rsidRDefault="00DF4CC6" w:rsidP="00DF4CC6">
      <w:pPr>
        <w:spacing w:line="240" w:lineRule="auto"/>
        <w:jc w:val="left"/>
        <w:rPr>
          <w:rFonts w:ascii="Arial" w:eastAsia="Calibri" w:hAnsi="Arial"/>
          <w:b/>
          <w:bCs/>
          <w:lang w:val="sr-Latn-RS" w:eastAsia="sr-Latn-RS"/>
        </w:rPr>
      </w:pPr>
      <w:r w:rsidRPr="00EF00A1">
        <w:rPr>
          <w:rFonts w:ascii="Arial" w:eastAsia="Calibri" w:hAnsi="Arial"/>
          <w:b/>
          <w:bCs/>
          <w:lang w:val="sr-Cyrl-RS" w:eastAsia="sr-Latn-RS"/>
        </w:rPr>
        <w:t>ОДГОВОР</w:t>
      </w:r>
      <w:r w:rsidRPr="00EF00A1">
        <w:rPr>
          <w:rFonts w:ascii="Arial" w:eastAsia="Calibri" w:hAnsi="Arial"/>
          <w:b/>
          <w:bCs/>
          <w:lang w:val="sr-Latn-RS" w:eastAsia="sr-Latn-RS"/>
        </w:rPr>
        <w:t xml:space="preserve"> </w:t>
      </w:r>
      <w:r>
        <w:rPr>
          <w:rFonts w:ascii="Arial" w:eastAsia="Calibri" w:hAnsi="Arial"/>
          <w:b/>
          <w:bCs/>
          <w:lang w:val="sr-Latn-RS" w:eastAsia="sr-Latn-RS"/>
        </w:rPr>
        <w:t>2</w:t>
      </w:r>
      <w:r w:rsidRPr="00EF00A1">
        <w:rPr>
          <w:rFonts w:ascii="Arial" w:eastAsia="Calibri" w:hAnsi="Arial"/>
          <w:b/>
          <w:bCs/>
          <w:lang w:val="sr-Cyrl-RS" w:eastAsia="sr-Latn-RS"/>
        </w:rPr>
        <w:t>:</w:t>
      </w:r>
    </w:p>
    <w:p w:rsidR="00DF4CC6" w:rsidRDefault="00DF4CC6" w:rsidP="00223C8E">
      <w:pPr>
        <w:spacing w:line="240" w:lineRule="auto"/>
        <w:jc w:val="left"/>
        <w:rPr>
          <w:rFonts w:ascii="Arial" w:hAnsi="Arial"/>
          <w:iCs/>
          <w:lang w:val="sr-Cyrl-RS"/>
        </w:rPr>
      </w:pPr>
    </w:p>
    <w:p w:rsidR="00DF4CC6" w:rsidRPr="00DF4CC6" w:rsidRDefault="00DF4CC6" w:rsidP="00223C8E">
      <w:pPr>
        <w:spacing w:line="240" w:lineRule="auto"/>
        <w:jc w:val="left"/>
        <w:rPr>
          <w:rFonts w:ascii="Arial" w:hAnsi="Arial"/>
          <w:iCs/>
          <w:lang w:val="sr-Cyrl-RS"/>
        </w:rPr>
      </w:pPr>
      <w:r>
        <w:rPr>
          <w:rFonts w:ascii="Arial" w:hAnsi="Arial"/>
          <w:iCs/>
          <w:lang w:val="sr-Cyrl-RS"/>
        </w:rPr>
        <w:t>Наручилац остаје при захтеву из конкурсне документације и сматра да је рок за испоруку добара примеран предмету јавне набавке.</w:t>
      </w:r>
    </w:p>
    <w:p w:rsidR="00DF4CC6" w:rsidRDefault="00DF4CC6" w:rsidP="00223C8E">
      <w:pPr>
        <w:spacing w:line="240" w:lineRule="auto"/>
        <w:jc w:val="left"/>
        <w:rPr>
          <w:rFonts w:ascii="Arial" w:hAnsi="Arial"/>
          <w:b/>
          <w:iCs/>
          <w:lang w:val="sr-Latn-RS"/>
        </w:rPr>
      </w:pPr>
    </w:p>
    <w:p w:rsidR="00DF4CC6" w:rsidRDefault="00DF4CC6" w:rsidP="00223C8E">
      <w:pPr>
        <w:spacing w:line="240" w:lineRule="auto"/>
        <w:jc w:val="left"/>
        <w:rPr>
          <w:rFonts w:ascii="Arial" w:hAnsi="Arial"/>
          <w:b/>
          <w:iCs/>
          <w:lang w:val="sr-Latn-RS"/>
        </w:rPr>
      </w:pPr>
    </w:p>
    <w:p w:rsidR="00DF4CC6" w:rsidRPr="00EF00A1" w:rsidRDefault="00DF4CC6" w:rsidP="00223C8E">
      <w:pPr>
        <w:spacing w:line="240" w:lineRule="auto"/>
        <w:jc w:val="left"/>
        <w:rPr>
          <w:lang w:val="sr-Latn-RS"/>
        </w:rPr>
      </w:pPr>
    </w:p>
    <w:p w:rsidR="00060EA5" w:rsidRDefault="00060EA5" w:rsidP="00060EA5">
      <w:pPr>
        <w:rPr>
          <w:rFonts w:ascii="Arial" w:hAnsi="Arial"/>
          <w:iCs/>
          <w:lang w:val="sr-Cyrl-RS"/>
        </w:rPr>
      </w:pPr>
      <w:r>
        <w:rPr>
          <w:rFonts w:ascii="Arial" w:hAnsi="Arial"/>
          <w:iCs/>
          <w:lang w:val="sr-Cyrl-RS"/>
        </w:rPr>
        <w:t>У складу са наведеним примедбама, Комисија  ће  сачинити измену и допуну  конкурсне документације и исту објавити на Порталу УЈН и нинтернет страници Наручиоца као и  продужити рок за доставу понуда.</w:t>
      </w:r>
    </w:p>
    <w:p w:rsidR="00EF00A1" w:rsidRPr="00EF00A1" w:rsidRDefault="00EF00A1" w:rsidP="00EF00A1">
      <w:pPr>
        <w:spacing w:line="240" w:lineRule="auto"/>
        <w:jc w:val="left"/>
        <w:rPr>
          <w:rFonts w:ascii="Calibri" w:eastAsia="Calibri" w:hAnsi="Calibri" w:cs="Times New Roman"/>
          <w:color w:val="1F497D"/>
          <w:lang w:val="sr-Latn-RS"/>
        </w:rPr>
      </w:pPr>
      <w:r w:rsidRPr="00EF00A1">
        <w:rPr>
          <w:rFonts w:ascii="Arial" w:eastAsia="Calibri" w:hAnsi="Arial"/>
          <w:color w:val="FF0000"/>
          <w:sz w:val="20"/>
          <w:szCs w:val="20"/>
          <w:lang w:val="sr-Latn-RS"/>
        </w:rPr>
        <w:t>.</w:t>
      </w:r>
    </w:p>
    <w:p w:rsidR="00EF00A1" w:rsidRDefault="00EF00A1" w:rsidP="00A8596A">
      <w:pPr>
        <w:spacing w:line="240" w:lineRule="auto"/>
        <w:jc w:val="left"/>
        <w:rPr>
          <w:color w:val="FF0000"/>
          <w:lang w:val="sr-Latn-RS"/>
        </w:rPr>
      </w:pPr>
    </w:p>
    <w:p w:rsidR="00EF00A1" w:rsidRDefault="00EF00A1" w:rsidP="00A8596A">
      <w:pPr>
        <w:spacing w:line="240" w:lineRule="auto"/>
        <w:jc w:val="left"/>
        <w:rPr>
          <w:rFonts w:ascii="Arial" w:eastAsia="Calibri" w:hAnsi="Arial"/>
          <w:b/>
          <w:bCs/>
          <w:lang w:val="sr-Latn-RS" w:eastAsia="sr-Latn-RS"/>
        </w:rPr>
      </w:pPr>
      <w:r w:rsidRPr="00EF00A1">
        <w:br/>
      </w:r>
    </w:p>
    <w:p w:rsidR="00EF00A1" w:rsidRPr="00EF00A1" w:rsidRDefault="00EF00A1" w:rsidP="00A8596A">
      <w:pPr>
        <w:spacing w:line="240" w:lineRule="auto"/>
        <w:jc w:val="left"/>
        <w:rPr>
          <w:rFonts w:ascii="Arial" w:eastAsia="Calibri" w:hAnsi="Arial"/>
          <w:b/>
          <w:bCs/>
          <w:lang w:val="sr-Latn-RS" w:eastAsia="sr-Latn-RS"/>
        </w:rPr>
      </w:pPr>
    </w:p>
    <w:p w:rsidR="0015449C" w:rsidRPr="0015449C" w:rsidRDefault="0015449C" w:rsidP="003317EC">
      <w:pPr>
        <w:rPr>
          <w:rFonts w:ascii="Arial" w:hAnsi="Arial"/>
          <w:lang w:val="sr-Cyrl-RS"/>
        </w:rPr>
      </w:pPr>
    </w:p>
    <w:p w:rsidR="00823373" w:rsidRPr="00D97D88" w:rsidRDefault="00823373" w:rsidP="00210721">
      <w:pPr>
        <w:spacing w:line="240" w:lineRule="auto"/>
        <w:jc w:val="center"/>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15" w:rsidRDefault="00891A15" w:rsidP="004A61DF">
      <w:pPr>
        <w:spacing w:line="240" w:lineRule="auto"/>
      </w:pPr>
      <w:r>
        <w:separator/>
      </w:r>
    </w:p>
  </w:endnote>
  <w:endnote w:type="continuationSeparator" w:id="0">
    <w:p w:rsidR="00891A15" w:rsidRDefault="00891A1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39" w:rsidRPr="00911D08" w:rsidRDefault="00E65D39">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E0442">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E0442">
      <w:rPr>
        <w:rFonts w:ascii="Calibri" w:hAnsi="Calibri"/>
        <w:bCs/>
        <w:i/>
        <w:noProof/>
        <w:sz w:val="16"/>
        <w:szCs w:val="16"/>
      </w:rPr>
      <w:t>3</w:t>
    </w:r>
    <w:r w:rsidRPr="00911D08">
      <w:rPr>
        <w:rFonts w:ascii="Calibri" w:hAnsi="Calibri"/>
        <w:bCs/>
        <w:i/>
        <w:sz w:val="16"/>
        <w:szCs w:val="16"/>
      </w:rPr>
      <w:fldChar w:fldCharType="end"/>
    </w:r>
  </w:p>
  <w:p w:rsidR="00E65D39" w:rsidRDefault="00E6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15" w:rsidRDefault="00891A15" w:rsidP="004A61DF">
      <w:pPr>
        <w:spacing w:line="240" w:lineRule="auto"/>
      </w:pPr>
      <w:r>
        <w:separator/>
      </w:r>
    </w:p>
  </w:footnote>
  <w:footnote w:type="continuationSeparator" w:id="0">
    <w:p w:rsidR="00891A15" w:rsidRDefault="00891A15"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39" w:rsidRDefault="00E65D3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E65D39" w:rsidRPr="00933BCC" w:rsidTr="0048082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65D39" w:rsidRPr="00933BCC" w:rsidRDefault="00E65D39" w:rsidP="00480824">
          <w:pPr>
            <w:spacing w:before="30"/>
            <w:jc w:val="center"/>
            <w:rPr>
              <w:b/>
              <w:sz w:val="16"/>
              <w:szCs w:val="16"/>
              <w:lang w:val="sl-SI"/>
            </w:rPr>
          </w:pPr>
          <w:r>
            <w:rPr>
              <w:noProof/>
              <w:lang w:val="sr-Latn-RS" w:eastAsia="sr-Latn-RS"/>
            </w:rPr>
            <w:drawing>
              <wp:inline distT="0" distB="0" distL="0" distR="0" wp14:anchorId="1D6FE70D" wp14:editId="68FFB19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E65D39" w:rsidRPr="00E23434" w:rsidRDefault="00E65D39"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E65D39" w:rsidRPr="00933BCC" w:rsidRDefault="00E65D39" w:rsidP="0048082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E65D39" w:rsidRPr="00E23434" w:rsidRDefault="00E65D39" w:rsidP="00480824">
              <w:pPr>
                <w:jc w:val="center"/>
                <w:rPr>
                  <w:b/>
                  <w:lang w:val="sr-Latn-RS"/>
                </w:rPr>
              </w:pPr>
              <w:r>
                <w:rPr>
                  <w:b/>
                </w:rPr>
                <w:t>QF-G-029</w:t>
              </w:r>
            </w:p>
          </w:sdtContent>
        </w:sdt>
      </w:tc>
    </w:tr>
    <w:tr w:rsidR="00E65D39" w:rsidRPr="00B86FF2" w:rsidTr="0048082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65D39" w:rsidRPr="00933BCC" w:rsidRDefault="00E65D39" w:rsidP="00480824">
          <w:pPr>
            <w:spacing w:before="30"/>
            <w:rPr>
              <w:noProof/>
            </w:rPr>
          </w:pPr>
        </w:p>
      </w:tc>
      <w:tc>
        <w:tcPr>
          <w:tcW w:w="3544" w:type="dxa"/>
          <w:vMerge/>
          <w:tcBorders>
            <w:bottom w:val="double" w:sz="12" w:space="0" w:color="auto"/>
          </w:tcBorders>
          <w:shd w:val="clear" w:color="auto" w:fill="F3F3F3"/>
          <w:vAlign w:val="center"/>
        </w:tcPr>
        <w:p w:rsidR="00E65D39" w:rsidRPr="00933BCC" w:rsidRDefault="00E65D39" w:rsidP="00480824">
          <w:pPr>
            <w:jc w:val="center"/>
          </w:pPr>
        </w:p>
      </w:tc>
      <w:tc>
        <w:tcPr>
          <w:tcW w:w="1559" w:type="dxa"/>
          <w:tcBorders>
            <w:top w:val="single" w:sz="4" w:space="0" w:color="auto"/>
            <w:bottom w:val="double" w:sz="12" w:space="0" w:color="auto"/>
          </w:tcBorders>
          <w:shd w:val="clear" w:color="auto" w:fill="CCCCCC"/>
          <w:vAlign w:val="center"/>
        </w:tcPr>
        <w:p w:rsidR="00E65D39" w:rsidRPr="00933BCC" w:rsidRDefault="00E65D39" w:rsidP="0048082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65D39" w:rsidRPr="00552D0C" w:rsidRDefault="00E65D39" w:rsidP="00480824">
          <w:pPr>
            <w:jc w:val="center"/>
            <w:rPr>
              <w:b/>
            </w:rPr>
          </w:pPr>
          <w:r w:rsidRPr="0081700D">
            <w:rPr>
              <w:b/>
            </w:rPr>
            <w:fldChar w:fldCharType="begin"/>
          </w:r>
          <w:r w:rsidRPr="0081700D">
            <w:rPr>
              <w:b/>
            </w:rPr>
            <w:instrText xml:space="preserve"> PAGE </w:instrText>
          </w:r>
          <w:r w:rsidRPr="0081700D">
            <w:rPr>
              <w:b/>
            </w:rPr>
            <w:fldChar w:fldCharType="separate"/>
          </w:r>
          <w:r w:rsidR="003E0442">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E0442">
            <w:rPr>
              <w:b/>
              <w:noProof/>
            </w:rPr>
            <w:t>3</w:t>
          </w:r>
          <w:r w:rsidRPr="0081700D">
            <w:rPr>
              <w:b/>
            </w:rPr>
            <w:fldChar w:fldCharType="end"/>
          </w:r>
        </w:p>
      </w:tc>
    </w:tr>
  </w:tbl>
  <w:p w:rsidR="00E65D39" w:rsidRDefault="00E65D39">
    <w:pPr>
      <w:pStyle w:val="Header"/>
    </w:pPr>
  </w:p>
  <w:p w:rsidR="00E65D39" w:rsidRDefault="00E6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6B434AB"/>
    <w:multiLevelType w:val="hybridMultilevel"/>
    <w:tmpl w:val="82EAD39E"/>
    <w:lvl w:ilvl="0" w:tplc="E0804ACA">
      <w:start w:val="2"/>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E1125"/>
    <w:multiLevelType w:val="hybridMultilevel"/>
    <w:tmpl w:val="E154F6EE"/>
    <w:lvl w:ilvl="0" w:tplc="02FE292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B81851"/>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E70692"/>
    <w:multiLevelType w:val="hybridMultilevel"/>
    <w:tmpl w:val="0176822C"/>
    <w:lvl w:ilvl="0" w:tplc="B16C1A7A">
      <w:start w:val="5"/>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254B92"/>
    <w:multiLevelType w:val="hybridMultilevel"/>
    <w:tmpl w:val="C5BAE94C"/>
    <w:lvl w:ilvl="0" w:tplc="6DF012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42658E"/>
    <w:multiLevelType w:val="multilevel"/>
    <w:tmpl w:val="68DC4230"/>
    <w:lvl w:ilvl="0">
      <w:start w:val="1"/>
      <w:numFmt w:val="decimal"/>
      <w:lvlText w:val="%1"/>
      <w:lvlJc w:val="left"/>
      <w:pPr>
        <w:ind w:left="360" w:hanging="360"/>
      </w:pPr>
      <w:rPr>
        <w:color w:val="1F497D"/>
      </w:rPr>
    </w:lvl>
    <w:lvl w:ilvl="1">
      <w:start w:val="1"/>
      <w:numFmt w:val="decimal"/>
      <w:lvlText w:val="%1.%2"/>
      <w:lvlJc w:val="left"/>
      <w:pPr>
        <w:ind w:left="1080" w:hanging="360"/>
      </w:pPr>
      <w:rPr>
        <w:color w:val="1F497D"/>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960" w:hanging="108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760" w:hanging="144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8">
    <w:nsid w:val="3F5A2F82"/>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5B0016"/>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3E9155A"/>
    <w:multiLevelType w:val="hybridMultilevel"/>
    <w:tmpl w:val="AF50319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45517919"/>
    <w:multiLevelType w:val="hybridMultilevel"/>
    <w:tmpl w:val="7EA27688"/>
    <w:lvl w:ilvl="0" w:tplc="D38E909E">
      <w:start w:val="3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225B1F"/>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341C17"/>
    <w:multiLevelType w:val="hybridMultilevel"/>
    <w:tmpl w:val="1F729F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18610D"/>
    <w:multiLevelType w:val="hybridMultilevel"/>
    <w:tmpl w:val="6222434E"/>
    <w:lvl w:ilvl="0" w:tplc="FFE0C65C">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57AB1343"/>
    <w:multiLevelType w:val="hybridMultilevel"/>
    <w:tmpl w:val="420089A6"/>
    <w:lvl w:ilvl="0" w:tplc="EA7AC91E">
      <w:start w:val="1"/>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5BD129A1"/>
    <w:multiLevelType w:val="multilevel"/>
    <w:tmpl w:val="7A6AA3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48E6E04"/>
    <w:multiLevelType w:val="hybridMultilevel"/>
    <w:tmpl w:val="F6F84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646831"/>
    <w:multiLevelType w:val="hybridMultilevel"/>
    <w:tmpl w:val="ADCCFED6"/>
    <w:lvl w:ilvl="0" w:tplc="3DB25A9C">
      <w:start w:val="1"/>
      <w:numFmt w:val="decimal"/>
      <w:lvlText w:val="%1."/>
      <w:lvlJc w:val="left"/>
      <w:pPr>
        <w:ind w:left="2770" w:hanging="360"/>
      </w:pPr>
    </w:lvl>
    <w:lvl w:ilvl="1" w:tplc="241A0019">
      <w:start w:val="1"/>
      <w:numFmt w:val="lowerLetter"/>
      <w:lvlText w:val="%2."/>
      <w:lvlJc w:val="left"/>
      <w:pPr>
        <w:ind w:left="3490" w:hanging="360"/>
      </w:pPr>
    </w:lvl>
    <w:lvl w:ilvl="2" w:tplc="241A001B">
      <w:start w:val="1"/>
      <w:numFmt w:val="lowerRoman"/>
      <w:lvlText w:val="%3."/>
      <w:lvlJc w:val="right"/>
      <w:pPr>
        <w:ind w:left="4210" w:hanging="180"/>
      </w:pPr>
    </w:lvl>
    <w:lvl w:ilvl="3" w:tplc="241A000F">
      <w:start w:val="1"/>
      <w:numFmt w:val="decimal"/>
      <w:lvlText w:val="%4."/>
      <w:lvlJc w:val="left"/>
      <w:pPr>
        <w:ind w:left="4930" w:hanging="360"/>
      </w:pPr>
    </w:lvl>
    <w:lvl w:ilvl="4" w:tplc="241A0019">
      <w:start w:val="1"/>
      <w:numFmt w:val="lowerLetter"/>
      <w:lvlText w:val="%5."/>
      <w:lvlJc w:val="left"/>
      <w:pPr>
        <w:ind w:left="5650" w:hanging="360"/>
      </w:pPr>
    </w:lvl>
    <w:lvl w:ilvl="5" w:tplc="241A001B">
      <w:start w:val="1"/>
      <w:numFmt w:val="lowerRoman"/>
      <w:lvlText w:val="%6."/>
      <w:lvlJc w:val="right"/>
      <w:pPr>
        <w:ind w:left="6370" w:hanging="180"/>
      </w:pPr>
    </w:lvl>
    <w:lvl w:ilvl="6" w:tplc="241A000F">
      <w:start w:val="1"/>
      <w:numFmt w:val="decimal"/>
      <w:lvlText w:val="%7."/>
      <w:lvlJc w:val="left"/>
      <w:pPr>
        <w:ind w:left="7090" w:hanging="360"/>
      </w:pPr>
    </w:lvl>
    <w:lvl w:ilvl="7" w:tplc="241A0019">
      <w:start w:val="1"/>
      <w:numFmt w:val="lowerLetter"/>
      <w:lvlText w:val="%8."/>
      <w:lvlJc w:val="left"/>
      <w:pPr>
        <w:ind w:left="7810" w:hanging="360"/>
      </w:pPr>
    </w:lvl>
    <w:lvl w:ilvl="8" w:tplc="241A001B">
      <w:start w:val="1"/>
      <w:numFmt w:val="lowerRoman"/>
      <w:lvlText w:val="%9."/>
      <w:lvlJc w:val="right"/>
      <w:pPr>
        <w:ind w:left="8530" w:hanging="180"/>
      </w:pPr>
    </w:lvl>
  </w:abstractNum>
  <w:abstractNum w:abstractNumId="2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4">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4"/>
  </w:num>
  <w:num w:numId="4">
    <w:abstractNumId w:val="1"/>
  </w:num>
  <w:num w:numId="5">
    <w:abstractNumId w:val="10"/>
  </w:num>
  <w:num w:numId="6">
    <w:abstractNumId w:val="16"/>
  </w:num>
  <w:num w:numId="7">
    <w:abstractNumId w:val="0"/>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9"/>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0120"/>
    <w:rsid w:val="000300F5"/>
    <w:rsid w:val="00044500"/>
    <w:rsid w:val="0004585F"/>
    <w:rsid w:val="00050585"/>
    <w:rsid w:val="00051D51"/>
    <w:rsid w:val="00053ED9"/>
    <w:rsid w:val="000547E2"/>
    <w:rsid w:val="00060EA5"/>
    <w:rsid w:val="000775D3"/>
    <w:rsid w:val="0008435C"/>
    <w:rsid w:val="000922A0"/>
    <w:rsid w:val="000A39B7"/>
    <w:rsid w:val="000A570D"/>
    <w:rsid w:val="000A5EE8"/>
    <w:rsid w:val="000B796E"/>
    <w:rsid w:val="000C3D4F"/>
    <w:rsid w:val="000C6C05"/>
    <w:rsid w:val="000F0A61"/>
    <w:rsid w:val="00120A8B"/>
    <w:rsid w:val="00123460"/>
    <w:rsid w:val="00131177"/>
    <w:rsid w:val="00136B09"/>
    <w:rsid w:val="00137C53"/>
    <w:rsid w:val="0015449C"/>
    <w:rsid w:val="00154E5B"/>
    <w:rsid w:val="00161DB4"/>
    <w:rsid w:val="00170BB3"/>
    <w:rsid w:val="0017719B"/>
    <w:rsid w:val="001925C5"/>
    <w:rsid w:val="001D679A"/>
    <w:rsid w:val="001D74C3"/>
    <w:rsid w:val="001F070C"/>
    <w:rsid w:val="001F1486"/>
    <w:rsid w:val="00201791"/>
    <w:rsid w:val="0020564A"/>
    <w:rsid w:val="002070F8"/>
    <w:rsid w:val="00210721"/>
    <w:rsid w:val="00217E8C"/>
    <w:rsid w:val="00223C8E"/>
    <w:rsid w:val="0023774A"/>
    <w:rsid w:val="0024479D"/>
    <w:rsid w:val="00255DD9"/>
    <w:rsid w:val="002808AB"/>
    <w:rsid w:val="002A2D9F"/>
    <w:rsid w:val="002B182D"/>
    <w:rsid w:val="002B4659"/>
    <w:rsid w:val="002C2407"/>
    <w:rsid w:val="002D5B65"/>
    <w:rsid w:val="0030129A"/>
    <w:rsid w:val="00311D82"/>
    <w:rsid w:val="0031682F"/>
    <w:rsid w:val="00320005"/>
    <w:rsid w:val="003317EC"/>
    <w:rsid w:val="0034440B"/>
    <w:rsid w:val="003539A6"/>
    <w:rsid w:val="0035537F"/>
    <w:rsid w:val="003640D5"/>
    <w:rsid w:val="003668DA"/>
    <w:rsid w:val="003A49F4"/>
    <w:rsid w:val="003B2E47"/>
    <w:rsid w:val="003D1C36"/>
    <w:rsid w:val="003D357C"/>
    <w:rsid w:val="003D4C3F"/>
    <w:rsid w:val="003E0442"/>
    <w:rsid w:val="003F07E2"/>
    <w:rsid w:val="003F2BEA"/>
    <w:rsid w:val="003F320E"/>
    <w:rsid w:val="004052DE"/>
    <w:rsid w:val="00446AB6"/>
    <w:rsid w:val="00452619"/>
    <w:rsid w:val="00460E69"/>
    <w:rsid w:val="004612FD"/>
    <w:rsid w:val="0046231D"/>
    <w:rsid w:val="00471287"/>
    <w:rsid w:val="00480824"/>
    <w:rsid w:val="00483725"/>
    <w:rsid w:val="00483E4E"/>
    <w:rsid w:val="0048587D"/>
    <w:rsid w:val="004A18EC"/>
    <w:rsid w:val="004A2DE4"/>
    <w:rsid w:val="004A61DF"/>
    <w:rsid w:val="004B20A0"/>
    <w:rsid w:val="004B4668"/>
    <w:rsid w:val="004C1CA3"/>
    <w:rsid w:val="004E59F3"/>
    <w:rsid w:val="004E6124"/>
    <w:rsid w:val="00505B0F"/>
    <w:rsid w:val="0051101B"/>
    <w:rsid w:val="00516529"/>
    <w:rsid w:val="00523AE9"/>
    <w:rsid w:val="00532302"/>
    <w:rsid w:val="005649E0"/>
    <w:rsid w:val="00577B25"/>
    <w:rsid w:val="005809B2"/>
    <w:rsid w:val="00582AFE"/>
    <w:rsid w:val="00587F03"/>
    <w:rsid w:val="005A29F1"/>
    <w:rsid w:val="005B59C7"/>
    <w:rsid w:val="005D014C"/>
    <w:rsid w:val="005D48A2"/>
    <w:rsid w:val="005E4D97"/>
    <w:rsid w:val="005F421D"/>
    <w:rsid w:val="005F7501"/>
    <w:rsid w:val="00603D2C"/>
    <w:rsid w:val="006078A2"/>
    <w:rsid w:val="00617F52"/>
    <w:rsid w:val="0062749F"/>
    <w:rsid w:val="00627566"/>
    <w:rsid w:val="00650524"/>
    <w:rsid w:val="006545AC"/>
    <w:rsid w:val="006613BF"/>
    <w:rsid w:val="006871E7"/>
    <w:rsid w:val="006A2AE7"/>
    <w:rsid w:val="006A7204"/>
    <w:rsid w:val="006B1D8A"/>
    <w:rsid w:val="006B38CE"/>
    <w:rsid w:val="006C6815"/>
    <w:rsid w:val="00714589"/>
    <w:rsid w:val="00714B24"/>
    <w:rsid w:val="007467FA"/>
    <w:rsid w:val="00753BB6"/>
    <w:rsid w:val="00754F8B"/>
    <w:rsid w:val="007635D2"/>
    <w:rsid w:val="00764062"/>
    <w:rsid w:val="00770308"/>
    <w:rsid w:val="00770430"/>
    <w:rsid w:val="00774414"/>
    <w:rsid w:val="007A4512"/>
    <w:rsid w:val="007B11EC"/>
    <w:rsid w:val="007B5FEF"/>
    <w:rsid w:val="007D0CA7"/>
    <w:rsid w:val="007E37BE"/>
    <w:rsid w:val="007F10D1"/>
    <w:rsid w:val="007F61D9"/>
    <w:rsid w:val="008031F2"/>
    <w:rsid w:val="00812250"/>
    <w:rsid w:val="008136E1"/>
    <w:rsid w:val="00823373"/>
    <w:rsid w:val="00843028"/>
    <w:rsid w:val="008524FB"/>
    <w:rsid w:val="00866BB4"/>
    <w:rsid w:val="00880B15"/>
    <w:rsid w:val="00891A15"/>
    <w:rsid w:val="008A3599"/>
    <w:rsid w:val="008A4FE4"/>
    <w:rsid w:val="008C28EE"/>
    <w:rsid w:val="008C7695"/>
    <w:rsid w:val="008D056C"/>
    <w:rsid w:val="008E369E"/>
    <w:rsid w:val="008F3964"/>
    <w:rsid w:val="00900D55"/>
    <w:rsid w:val="00905C03"/>
    <w:rsid w:val="00911D08"/>
    <w:rsid w:val="009455B3"/>
    <w:rsid w:val="009558C4"/>
    <w:rsid w:val="00955C04"/>
    <w:rsid w:val="00974CC8"/>
    <w:rsid w:val="00975013"/>
    <w:rsid w:val="0098146B"/>
    <w:rsid w:val="00990A0E"/>
    <w:rsid w:val="009C545D"/>
    <w:rsid w:val="009E6CE5"/>
    <w:rsid w:val="009F4C4B"/>
    <w:rsid w:val="00A20DDE"/>
    <w:rsid w:val="00A33C12"/>
    <w:rsid w:val="00A3670E"/>
    <w:rsid w:val="00A51CB8"/>
    <w:rsid w:val="00A651BD"/>
    <w:rsid w:val="00A70CB7"/>
    <w:rsid w:val="00A8596A"/>
    <w:rsid w:val="00A919DD"/>
    <w:rsid w:val="00A9334D"/>
    <w:rsid w:val="00A9548A"/>
    <w:rsid w:val="00AA08BD"/>
    <w:rsid w:val="00AA35B1"/>
    <w:rsid w:val="00AA54F2"/>
    <w:rsid w:val="00AB3121"/>
    <w:rsid w:val="00AC30F5"/>
    <w:rsid w:val="00AF4BC3"/>
    <w:rsid w:val="00B079BC"/>
    <w:rsid w:val="00B163E4"/>
    <w:rsid w:val="00B30C16"/>
    <w:rsid w:val="00B43364"/>
    <w:rsid w:val="00B5670E"/>
    <w:rsid w:val="00B629EA"/>
    <w:rsid w:val="00B75FD0"/>
    <w:rsid w:val="00B95ABF"/>
    <w:rsid w:val="00BA2540"/>
    <w:rsid w:val="00BB0908"/>
    <w:rsid w:val="00BB5173"/>
    <w:rsid w:val="00BC7854"/>
    <w:rsid w:val="00BE618C"/>
    <w:rsid w:val="00C04B2D"/>
    <w:rsid w:val="00C05205"/>
    <w:rsid w:val="00C054DD"/>
    <w:rsid w:val="00C15035"/>
    <w:rsid w:val="00C16405"/>
    <w:rsid w:val="00C200E0"/>
    <w:rsid w:val="00C32ABE"/>
    <w:rsid w:val="00C34240"/>
    <w:rsid w:val="00C377AE"/>
    <w:rsid w:val="00C45350"/>
    <w:rsid w:val="00C56384"/>
    <w:rsid w:val="00C70428"/>
    <w:rsid w:val="00C74EB8"/>
    <w:rsid w:val="00C807D3"/>
    <w:rsid w:val="00C81155"/>
    <w:rsid w:val="00C87CF3"/>
    <w:rsid w:val="00C95499"/>
    <w:rsid w:val="00CA509A"/>
    <w:rsid w:val="00CB49A8"/>
    <w:rsid w:val="00CC7442"/>
    <w:rsid w:val="00CD6748"/>
    <w:rsid w:val="00CF2F4B"/>
    <w:rsid w:val="00CF3FCC"/>
    <w:rsid w:val="00D05FDE"/>
    <w:rsid w:val="00D07D48"/>
    <w:rsid w:val="00D109F3"/>
    <w:rsid w:val="00D12CB8"/>
    <w:rsid w:val="00D2314E"/>
    <w:rsid w:val="00D305E2"/>
    <w:rsid w:val="00D310B0"/>
    <w:rsid w:val="00D56B1D"/>
    <w:rsid w:val="00D95C80"/>
    <w:rsid w:val="00D97D88"/>
    <w:rsid w:val="00DB25EE"/>
    <w:rsid w:val="00DD00B0"/>
    <w:rsid w:val="00DD31A0"/>
    <w:rsid w:val="00DF424F"/>
    <w:rsid w:val="00DF4CC6"/>
    <w:rsid w:val="00E065A6"/>
    <w:rsid w:val="00E1487D"/>
    <w:rsid w:val="00E173B4"/>
    <w:rsid w:val="00E323DC"/>
    <w:rsid w:val="00E450F3"/>
    <w:rsid w:val="00E61B0F"/>
    <w:rsid w:val="00E65D39"/>
    <w:rsid w:val="00E67599"/>
    <w:rsid w:val="00E912CB"/>
    <w:rsid w:val="00EA6E29"/>
    <w:rsid w:val="00EB53F8"/>
    <w:rsid w:val="00EC2442"/>
    <w:rsid w:val="00EC2997"/>
    <w:rsid w:val="00ED75CE"/>
    <w:rsid w:val="00EE09F4"/>
    <w:rsid w:val="00EF00A1"/>
    <w:rsid w:val="00EF478E"/>
    <w:rsid w:val="00F14222"/>
    <w:rsid w:val="00F172F6"/>
    <w:rsid w:val="00F33CFB"/>
    <w:rsid w:val="00F34053"/>
    <w:rsid w:val="00F34D6F"/>
    <w:rsid w:val="00F514F8"/>
    <w:rsid w:val="00F75895"/>
    <w:rsid w:val="00FB7B33"/>
    <w:rsid w:val="00FC01E0"/>
    <w:rsid w:val="00FE0AD3"/>
    <w:rsid w:val="00FE1A75"/>
    <w:rsid w:val="00FE2394"/>
    <w:rsid w:val="00FE749C"/>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95376198">
      <w:bodyDiv w:val="1"/>
      <w:marLeft w:val="0"/>
      <w:marRight w:val="0"/>
      <w:marTop w:val="0"/>
      <w:marBottom w:val="0"/>
      <w:divBdr>
        <w:top w:val="none" w:sz="0" w:space="0" w:color="auto"/>
        <w:left w:val="none" w:sz="0" w:space="0" w:color="auto"/>
        <w:bottom w:val="none" w:sz="0" w:space="0" w:color="auto"/>
        <w:right w:val="none" w:sz="0" w:space="0" w:color="auto"/>
      </w:divBdr>
    </w:div>
    <w:div w:id="322392058">
      <w:bodyDiv w:val="1"/>
      <w:marLeft w:val="0"/>
      <w:marRight w:val="0"/>
      <w:marTop w:val="0"/>
      <w:marBottom w:val="0"/>
      <w:divBdr>
        <w:top w:val="none" w:sz="0" w:space="0" w:color="auto"/>
        <w:left w:val="none" w:sz="0" w:space="0" w:color="auto"/>
        <w:bottom w:val="none" w:sz="0" w:space="0" w:color="auto"/>
        <w:right w:val="none" w:sz="0" w:space="0" w:color="auto"/>
      </w:divBdr>
    </w:div>
    <w:div w:id="370495006">
      <w:bodyDiv w:val="1"/>
      <w:marLeft w:val="0"/>
      <w:marRight w:val="0"/>
      <w:marTop w:val="0"/>
      <w:marBottom w:val="0"/>
      <w:divBdr>
        <w:top w:val="none" w:sz="0" w:space="0" w:color="auto"/>
        <w:left w:val="none" w:sz="0" w:space="0" w:color="auto"/>
        <w:bottom w:val="none" w:sz="0" w:space="0" w:color="auto"/>
        <w:right w:val="none" w:sz="0" w:space="0" w:color="auto"/>
      </w:divBdr>
    </w:div>
    <w:div w:id="558709784">
      <w:bodyDiv w:val="1"/>
      <w:marLeft w:val="0"/>
      <w:marRight w:val="0"/>
      <w:marTop w:val="0"/>
      <w:marBottom w:val="0"/>
      <w:divBdr>
        <w:top w:val="none" w:sz="0" w:space="0" w:color="auto"/>
        <w:left w:val="none" w:sz="0" w:space="0" w:color="auto"/>
        <w:bottom w:val="none" w:sz="0" w:space="0" w:color="auto"/>
        <w:right w:val="none" w:sz="0" w:space="0" w:color="auto"/>
      </w:divBdr>
    </w:div>
    <w:div w:id="711808461">
      <w:bodyDiv w:val="1"/>
      <w:marLeft w:val="0"/>
      <w:marRight w:val="0"/>
      <w:marTop w:val="0"/>
      <w:marBottom w:val="0"/>
      <w:divBdr>
        <w:top w:val="none" w:sz="0" w:space="0" w:color="auto"/>
        <w:left w:val="none" w:sz="0" w:space="0" w:color="auto"/>
        <w:bottom w:val="none" w:sz="0" w:space="0" w:color="auto"/>
        <w:right w:val="none" w:sz="0" w:space="0" w:color="auto"/>
      </w:divBdr>
    </w:div>
    <w:div w:id="75832710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37525744">
      <w:bodyDiv w:val="1"/>
      <w:marLeft w:val="0"/>
      <w:marRight w:val="0"/>
      <w:marTop w:val="0"/>
      <w:marBottom w:val="0"/>
      <w:divBdr>
        <w:top w:val="none" w:sz="0" w:space="0" w:color="auto"/>
        <w:left w:val="none" w:sz="0" w:space="0" w:color="auto"/>
        <w:bottom w:val="none" w:sz="0" w:space="0" w:color="auto"/>
        <w:right w:val="none" w:sz="0" w:space="0" w:color="auto"/>
      </w:divBdr>
    </w:div>
    <w:div w:id="1208297460">
      <w:bodyDiv w:val="1"/>
      <w:marLeft w:val="0"/>
      <w:marRight w:val="0"/>
      <w:marTop w:val="0"/>
      <w:marBottom w:val="0"/>
      <w:divBdr>
        <w:top w:val="none" w:sz="0" w:space="0" w:color="auto"/>
        <w:left w:val="none" w:sz="0" w:space="0" w:color="auto"/>
        <w:bottom w:val="none" w:sz="0" w:space="0" w:color="auto"/>
        <w:right w:val="none" w:sz="0" w:space="0" w:color="auto"/>
      </w:divBdr>
    </w:div>
    <w:div w:id="1682195606">
      <w:bodyDiv w:val="1"/>
      <w:marLeft w:val="0"/>
      <w:marRight w:val="0"/>
      <w:marTop w:val="0"/>
      <w:marBottom w:val="0"/>
      <w:divBdr>
        <w:top w:val="none" w:sz="0" w:space="0" w:color="auto"/>
        <w:left w:val="none" w:sz="0" w:space="0" w:color="auto"/>
        <w:bottom w:val="none" w:sz="0" w:space="0" w:color="auto"/>
        <w:right w:val="none" w:sz="0" w:space="0" w:color="auto"/>
      </w:divBdr>
    </w:div>
    <w:div w:id="1729262223">
      <w:bodyDiv w:val="1"/>
      <w:marLeft w:val="0"/>
      <w:marRight w:val="0"/>
      <w:marTop w:val="0"/>
      <w:marBottom w:val="0"/>
      <w:divBdr>
        <w:top w:val="none" w:sz="0" w:space="0" w:color="auto"/>
        <w:left w:val="none" w:sz="0" w:space="0" w:color="auto"/>
        <w:bottom w:val="none" w:sz="0" w:space="0" w:color="auto"/>
        <w:right w:val="none" w:sz="0" w:space="0" w:color="auto"/>
      </w:divBdr>
    </w:div>
    <w:div w:id="187688749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7481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7481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19B0"/>
    <w:rsid w:val="0006233C"/>
    <w:rsid w:val="00084668"/>
    <w:rsid w:val="00101A24"/>
    <w:rsid w:val="00105ACC"/>
    <w:rsid w:val="001303CC"/>
    <w:rsid w:val="0015298F"/>
    <w:rsid w:val="00174250"/>
    <w:rsid w:val="00190F77"/>
    <w:rsid w:val="001B236E"/>
    <w:rsid w:val="001E01C9"/>
    <w:rsid w:val="001E584A"/>
    <w:rsid w:val="001E6361"/>
    <w:rsid w:val="001E7913"/>
    <w:rsid w:val="00223FDD"/>
    <w:rsid w:val="0023663A"/>
    <w:rsid w:val="002F50E7"/>
    <w:rsid w:val="00322F13"/>
    <w:rsid w:val="004A6020"/>
    <w:rsid w:val="00843873"/>
    <w:rsid w:val="00867381"/>
    <w:rsid w:val="00917658"/>
    <w:rsid w:val="0094573A"/>
    <w:rsid w:val="00992F3B"/>
    <w:rsid w:val="00AA1E84"/>
    <w:rsid w:val="00AD0EFA"/>
    <w:rsid w:val="00B7481C"/>
    <w:rsid w:val="00B7552E"/>
    <w:rsid w:val="00B8771B"/>
    <w:rsid w:val="00BB6212"/>
    <w:rsid w:val="00BE352F"/>
    <w:rsid w:val="00C52B0F"/>
    <w:rsid w:val="00CA2B66"/>
    <w:rsid w:val="00CB753A"/>
    <w:rsid w:val="00D56568"/>
    <w:rsid w:val="00D6350C"/>
    <w:rsid w:val="00D97B9A"/>
    <w:rsid w:val="00DE0C16"/>
    <w:rsid w:val="00E120EF"/>
    <w:rsid w:val="00E32B90"/>
    <w:rsid w:val="00EF7DFE"/>
    <w:rsid w:val="00F97F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785B-9862-4C0E-8C6D-D7EF3D5D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16</cp:revision>
  <cp:lastPrinted>2017-06-15T10:54:00Z</cp:lastPrinted>
  <dcterms:created xsi:type="dcterms:W3CDTF">2017-06-13T11:59:00Z</dcterms:created>
  <dcterms:modified xsi:type="dcterms:W3CDTF">2017-06-15T11:55:00Z</dcterms:modified>
</cp:coreProperties>
</file>