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3E11B0" w:rsidRPr="000D4A29" w:rsidTr="006F64CF">
        <w:trPr>
          <w:trHeight w:val="839"/>
        </w:trPr>
        <w:tc>
          <w:tcPr>
            <w:tcW w:w="8778" w:type="dxa"/>
            <w:shd w:val="clear" w:color="auto" w:fill="auto"/>
            <w:vAlign w:val="center"/>
          </w:tcPr>
          <w:p w:rsidR="003E11B0" w:rsidRDefault="003E11B0" w:rsidP="008D3DE1">
            <w:pPr>
              <w:rPr>
                <w:rFonts w:ascii="Arial" w:hAnsi="Arial" w:cs="Arial"/>
              </w:rPr>
            </w:pPr>
          </w:p>
          <w:p w:rsidR="003E11B0" w:rsidRDefault="00057230" w:rsidP="006F64CF">
            <w:pPr>
              <w:rPr>
                <w:rFonts w:ascii="Arial" w:hAnsi="Arial" w:cs="Arial"/>
                <w:b/>
                <w:lang w:val="ru-RU"/>
              </w:rPr>
            </w:pPr>
            <w:r>
              <w:rPr>
                <w:rFonts w:ascii="Arial" w:hAnsi="Arial" w:cs="Arial"/>
                <w:b/>
                <w:lang w:val="ru-RU"/>
              </w:rPr>
              <w:t>СВИМ  ЗАИНТЕРЕСОВАНИМ ЛИЦИМА</w:t>
            </w:r>
          </w:p>
          <w:p w:rsidR="00FF1342" w:rsidRPr="006F64CF" w:rsidRDefault="00FF1342" w:rsidP="006F64CF">
            <w:pPr>
              <w:rPr>
                <w:rFonts w:ascii="Arial" w:hAnsi="Arial" w:cs="Arial"/>
                <w:lang w:val="sr-Latn-RS"/>
              </w:rPr>
            </w:pPr>
          </w:p>
        </w:tc>
      </w:tr>
    </w:tbl>
    <w:p w:rsidR="003E11B0" w:rsidRPr="00196436" w:rsidRDefault="003E11B0" w:rsidP="003E11B0">
      <w:pPr>
        <w:rPr>
          <w:rFonts w:ascii="Arial" w:hAnsi="Arial" w:cs="Arial"/>
          <w:lang w:val="sr-Cyrl-CS"/>
        </w:rPr>
      </w:pPr>
    </w:p>
    <w:p w:rsidR="006F64CF" w:rsidRPr="006F64CF" w:rsidRDefault="006F64CF" w:rsidP="006F64CF">
      <w:pPr>
        <w:jc w:val="both"/>
        <w:rPr>
          <w:rFonts w:ascii="Arial" w:hAnsi="Arial" w:cs="Arial"/>
          <w:b/>
          <w:lang w:val="sr-Latn-RS"/>
        </w:rPr>
      </w:pPr>
      <w:bookmarkStart w:id="0" w:name="_GoBack"/>
      <w:r w:rsidRPr="006F64CF">
        <w:rPr>
          <w:rFonts w:ascii="Arial" w:hAnsi="Arial" w:cs="Arial"/>
          <w:b/>
          <w:bCs/>
          <w:lang w:val="ru-RU"/>
        </w:rPr>
        <w:t>ПРЕДМЕТ:</w:t>
      </w:r>
      <w:r w:rsidRPr="006F64CF">
        <w:rPr>
          <w:rFonts w:ascii="Arial" w:hAnsi="Arial" w:cs="Arial"/>
          <w:b/>
          <w:lang w:val="ru-RU"/>
        </w:rPr>
        <w:t xml:space="preserve"> Додатне информације и појашњења у вези са припремањем понуде за јавну набавку број </w:t>
      </w:r>
      <w:r w:rsidRPr="006F64CF">
        <w:rPr>
          <w:rFonts w:ascii="Arial" w:hAnsi="Arial" w:cs="Arial"/>
          <w:b/>
          <w:lang w:val="sr-Latn-RS"/>
        </w:rPr>
        <w:t xml:space="preserve">2331/2013 </w:t>
      </w:r>
    </w:p>
    <w:bookmarkEnd w:id="0"/>
    <w:p w:rsidR="006F64CF" w:rsidRPr="006F64CF" w:rsidRDefault="006F64CF" w:rsidP="006F64CF">
      <w:pPr>
        <w:jc w:val="both"/>
        <w:rPr>
          <w:rFonts w:ascii="Arial" w:hAnsi="Arial" w:cs="Arial"/>
          <w:b/>
          <w:lang w:val="sr-Cyrl-RS"/>
        </w:rPr>
      </w:pPr>
    </w:p>
    <w:p w:rsidR="003E11B0" w:rsidRPr="006F64CF" w:rsidRDefault="00E51F76" w:rsidP="003E11B0">
      <w:pPr>
        <w:jc w:val="both"/>
        <w:rPr>
          <w:rFonts w:ascii="Arial" w:hAnsi="Arial" w:cs="Arial"/>
          <w:b/>
          <w:lang w:val="sr-Latn-RS"/>
        </w:rPr>
      </w:pPr>
      <w:r w:rsidRPr="006F64CF">
        <w:rPr>
          <w:rFonts w:ascii="Arial" w:hAnsi="Arial" w:cs="Arial"/>
          <w:b/>
          <w:bCs/>
        </w:rPr>
        <w:t>SUBJECT</w:t>
      </w:r>
      <w:r w:rsidR="003E11B0" w:rsidRPr="006F64CF">
        <w:rPr>
          <w:rFonts w:ascii="Arial" w:hAnsi="Arial" w:cs="Arial"/>
          <w:b/>
          <w:bCs/>
          <w:lang w:val="ru-RU"/>
        </w:rPr>
        <w:t>:</w:t>
      </w:r>
      <w:r w:rsidR="003E11B0" w:rsidRPr="006F64CF">
        <w:rPr>
          <w:rFonts w:ascii="Arial" w:hAnsi="Arial" w:cs="Arial"/>
          <w:b/>
          <w:lang w:val="ru-RU"/>
        </w:rPr>
        <w:t xml:space="preserve"> </w:t>
      </w:r>
      <w:r w:rsidRPr="006F64CF">
        <w:rPr>
          <w:rFonts w:ascii="Arial" w:hAnsi="Arial" w:cs="Arial"/>
          <w:b/>
        </w:rPr>
        <w:t>Additional information and clarifications regarding the preparation of bid for public procurement no.</w:t>
      </w:r>
      <w:r w:rsidR="003E11B0" w:rsidRPr="006F64CF">
        <w:rPr>
          <w:rFonts w:ascii="Arial" w:hAnsi="Arial" w:cs="Arial"/>
          <w:b/>
          <w:lang w:val="ru-RU"/>
        </w:rPr>
        <w:t xml:space="preserve"> </w:t>
      </w:r>
      <w:r w:rsidR="003E11B0" w:rsidRPr="006F64CF">
        <w:rPr>
          <w:rFonts w:ascii="Arial" w:hAnsi="Arial" w:cs="Arial"/>
          <w:b/>
          <w:lang w:val="sr-Latn-RS"/>
        </w:rPr>
        <w:t xml:space="preserve">2331/2013 </w:t>
      </w:r>
    </w:p>
    <w:p w:rsidR="006F64CF" w:rsidRPr="006F64CF" w:rsidRDefault="006F64CF" w:rsidP="003E11B0">
      <w:pPr>
        <w:jc w:val="both"/>
        <w:rPr>
          <w:rFonts w:ascii="Arial" w:hAnsi="Arial" w:cs="Arial"/>
          <w:b/>
          <w:lang w:val="sr-Cyrl-RS"/>
        </w:rPr>
      </w:pPr>
    </w:p>
    <w:p w:rsidR="006F64CF" w:rsidRPr="006F64CF" w:rsidRDefault="006F64CF" w:rsidP="006F64CF">
      <w:pPr>
        <w:jc w:val="both"/>
        <w:rPr>
          <w:rFonts w:ascii="Arial" w:hAnsi="Arial" w:cs="Arial"/>
          <w:b/>
          <w:lang w:val="sr-Cyrl-CS"/>
        </w:rPr>
      </w:pPr>
      <w:r w:rsidRPr="006F64CF">
        <w:rPr>
          <w:rFonts w:ascii="Arial" w:hAnsi="Arial" w:cs="Arial"/>
          <w:b/>
          <w:lang w:val="sr-Cyrl-CS"/>
        </w:rPr>
        <w:t>Поштовани,</w:t>
      </w:r>
    </w:p>
    <w:p w:rsidR="006F64CF" w:rsidRPr="006F64CF" w:rsidRDefault="006F64CF" w:rsidP="006F64CF">
      <w:pPr>
        <w:jc w:val="both"/>
        <w:rPr>
          <w:rFonts w:ascii="Arial" w:hAnsi="Arial" w:cs="Arial"/>
          <w:lang w:val="sr-Cyrl-CS"/>
        </w:rPr>
      </w:pPr>
    </w:p>
    <w:p w:rsidR="006F64CF" w:rsidRPr="006F64CF" w:rsidRDefault="006F64CF" w:rsidP="006F64CF">
      <w:pPr>
        <w:jc w:val="both"/>
        <w:rPr>
          <w:rFonts w:ascii="Arial" w:hAnsi="Arial" w:cs="Arial"/>
          <w:lang w:val="sr-Cyrl-CS"/>
        </w:rPr>
      </w:pPr>
      <w:r w:rsidRPr="006F64CF">
        <w:rPr>
          <w:rFonts w:ascii="Arial" w:hAnsi="Arial" w:cs="Arial"/>
          <w:lang w:val="ru-RU"/>
        </w:rPr>
        <w:t xml:space="preserve">На основу члана 63. став 3. Закона о јавним набавкама  ("Сл.гласник РС" број  124/2012) достављамо Вам  одговор на постављено питање везано за припремање понуде  за јавну набавку број </w:t>
      </w:r>
      <w:r w:rsidRPr="006F64CF">
        <w:rPr>
          <w:rFonts w:ascii="Arial" w:hAnsi="Arial" w:cs="Arial"/>
          <w:lang w:val="sr-Cyrl-CS"/>
        </w:rPr>
        <w:t xml:space="preserve">2331/2013, а </w:t>
      </w:r>
      <w:r w:rsidRPr="006F64CF">
        <w:rPr>
          <w:rFonts w:ascii="Arial" w:hAnsi="Arial" w:cs="Arial"/>
          <w:lang w:val="ru-RU"/>
        </w:rPr>
        <w:t xml:space="preserve">која се односи на набавку </w:t>
      </w:r>
      <w:r w:rsidRPr="006F64CF">
        <w:rPr>
          <w:rFonts w:ascii="Arial" w:hAnsi="Arial" w:cs="Arial"/>
          <w:lang w:val="sr-Cyrl-CS"/>
        </w:rPr>
        <w:t>Taprogge куглице.</w:t>
      </w:r>
    </w:p>
    <w:p w:rsidR="003E11B0" w:rsidRPr="00D039DF" w:rsidRDefault="003E11B0" w:rsidP="003E11B0">
      <w:pPr>
        <w:jc w:val="both"/>
        <w:rPr>
          <w:rFonts w:ascii="Arial" w:hAnsi="Arial" w:cs="Arial"/>
          <w:lang w:val="sr-Cyrl-CS"/>
        </w:rPr>
      </w:pPr>
    </w:p>
    <w:p w:rsidR="003E11B0" w:rsidRDefault="003E11B0" w:rsidP="003E11B0">
      <w:pPr>
        <w:jc w:val="both"/>
        <w:rPr>
          <w:rFonts w:ascii="Arial" w:hAnsi="Arial" w:cs="Arial"/>
          <w:b/>
          <w:lang w:val="sr-Cyrl-CS"/>
        </w:rPr>
      </w:pPr>
      <w:r>
        <w:rPr>
          <w:rFonts w:ascii="Arial" w:hAnsi="Arial" w:cs="Arial"/>
          <w:b/>
          <w:lang w:val="sr-Cyrl-CS"/>
        </w:rPr>
        <w:t>Питање</w:t>
      </w:r>
      <w:r w:rsidR="006F64CF">
        <w:rPr>
          <w:rFonts w:ascii="Arial" w:hAnsi="Arial" w:cs="Arial"/>
          <w:b/>
          <w:lang w:val="sr-Latn-RS"/>
        </w:rPr>
        <w:t xml:space="preserve"> </w:t>
      </w:r>
      <w:r w:rsidR="006F64CF">
        <w:rPr>
          <w:rFonts w:ascii="Arial" w:hAnsi="Arial" w:cs="Arial"/>
          <w:b/>
          <w:lang w:val="sr-Cyrl-RS"/>
        </w:rPr>
        <w:t>бр.</w:t>
      </w:r>
      <w:r w:rsidR="006F64CF">
        <w:rPr>
          <w:rFonts w:ascii="Arial" w:hAnsi="Arial" w:cs="Arial"/>
          <w:b/>
          <w:lang w:val="sr-Latn-RS"/>
        </w:rPr>
        <w:t xml:space="preserve"> 1</w:t>
      </w:r>
      <w:r>
        <w:rPr>
          <w:rFonts w:ascii="Arial" w:hAnsi="Arial" w:cs="Arial"/>
          <w:b/>
          <w:lang w:val="sr-Cyrl-CS"/>
        </w:rPr>
        <w:t xml:space="preserve"> </w:t>
      </w:r>
      <w:r w:rsidRPr="003D07FD">
        <w:rPr>
          <w:rFonts w:ascii="Arial" w:hAnsi="Arial" w:cs="Arial"/>
          <w:b/>
          <w:lang w:val="sr-Cyrl-CS"/>
        </w:rPr>
        <w:t>:</w:t>
      </w:r>
    </w:p>
    <w:p w:rsidR="003E11B0" w:rsidRPr="006F64CF" w:rsidRDefault="003E11B0" w:rsidP="003E11B0">
      <w:pPr>
        <w:jc w:val="both"/>
        <w:rPr>
          <w:rFonts w:ascii="Arial" w:hAnsi="Arial" w:cs="Arial"/>
          <w:lang w:val="sr-Latn-RS"/>
        </w:rPr>
      </w:pPr>
      <w:r w:rsidRPr="00AF5712">
        <w:t xml:space="preserve"> </w:t>
      </w:r>
      <w:r w:rsidRPr="00AF5712">
        <w:rPr>
          <w:rFonts w:ascii="Arial" w:hAnsi="Arial" w:cs="Arial"/>
          <w:lang w:val="ru-RU"/>
        </w:rPr>
        <w:t>Обавестите нас ако смо ве</w:t>
      </w:r>
      <w:r w:rsidR="00FF1342">
        <w:rPr>
          <w:rFonts w:ascii="Arial" w:hAnsi="Arial" w:cs="Arial"/>
          <w:lang w:val="ru-RU"/>
        </w:rPr>
        <w:t>ћ</w:t>
      </w:r>
      <w:r w:rsidRPr="00AF5712">
        <w:rPr>
          <w:rFonts w:ascii="Arial" w:hAnsi="Arial" w:cs="Arial"/>
          <w:lang w:val="ru-RU"/>
        </w:rPr>
        <w:t xml:space="preserve"> уписани у регистар понуђача, јер би ово олакшало припрему неопходних докумената, посебно у погледу тачке 5- докази.</w:t>
      </w:r>
    </w:p>
    <w:p w:rsidR="003E11B0" w:rsidRPr="00AF5712" w:rsidRDefault="003E11B0" w:rsidP="003E11B0">
      <w:pPr>
        <w:jc w:val="both"/>
        <w:rPr>
          <w:rFonts w:ascii="Arial" w:hAnsi="Arial" w:cs="Arial"/>
          <w:lang w:val="ru-RU"/>
        </w:rPr>
      </w:pPr>
      <w:r w:rsidRPr="00AF5712">
        <w:rPr>
          <w:rFonts w:ascii="Arial" w:hAnsi="Arial" w:cs="Arial"/>
          <w:b/>
          <w:lang w:val="ru-RU"/>
        </w:rPr>
        <w:t>Одговор</w:t>
      </w:r>
      <w:r w:rsidR="006F64CF">
        <w:rPr>
          <w:rFonts w:ascii="Arial" w:hAnsi="Arial" w:cs="Arial"/>
          <w:b/>
          <w:lang w:val="ru-RU"/>
        </w:rPr>
        <w:t xml:space="preserve"> бр1</w:t>
      </w:r>
      <w:r w:rsidRPr="00AF5712">
        <w:rPr>
          <w:rFonts w:ascii="Arial" w:hAnsi="Arial" w:cs="Arial"/>
          <w:b/>
          <w:lang w:val="ru-RU"/>
        </w:rPr>
        <w:t>:</w:t>
      </w:r>
      <w:r w:rsidRPr="00AF5712">
        <w:rPr>
          <w:rFonts w:ascii="Arial" w:hAnsi="Arial" w:cs="Arial"/>
          <w:lang w:val="ru-RU"/>
        </w:rPr>
        <w:t xml:space="preserve"> Регистар понуђача је јавна база података о предузетницима и правним лицима на територији Републике Србије  који испуњавају обавезне услове за учешће у поступку јавне набавке и </w:t>
      </w:r>
      <w:r>
        <w:rPr>
          <w:rFonts w:ascii="Arial" w:hAnsi="Arial" w:cs="Arial"/>
          <w:lang w:val="ru-RU"/>
        </w:rPr>
        <w:t xml:space="preserve">у </w:t>
      </w:r>
      <w:r w:rsidRPr="00AF5712">
        <w:rPr>
          <w:rFonts w:ascii="Arial" w:hAnsi="Arial" w:cs="Arial"/>
          <w:lang w:val="ru-RU"/>
        </w:rPr>
        <w:t>који  може бити уписан предузетник или домаће правно лице.</w:t>
      </w:r>
    </w:p>
    <w:p w:rsidR="003E11B0" w:rsidRDefault="003E11B0" w:rsidP="003E11B0">
      <w:pPr>
        <w:jc w:val="both"/>
        <w:rPr>
          <w:rFonts w:ascii="Arial" w:hAnsi="Arial" w:cs="Arial"/>
          <w:lang w:val="ru-RU"/>
        </w:rPr>
      </w:pPr>
      <w:r w:rsidRPr="00AF5712">
        <w:rPr>
          <w:rFonts w:ascii="Arial" w:hAnsi="Arial" w:cs="Arial"/>
          <w:lang w:val="ru-RU"/>
        </w:rPr>
        <w:t>Као ино понуђач ви не можете бити регистровани у Регистар понуђача.</w:t>
      </w:r>
    </w:p>
    <w:p w:rsidR="006F64CF" w:rsidRPr="006F64CF" w:rsidRDefault="006F64CF" w:rsidP="006F64CF">
      <w:pPr>
        <w:autoSpaceDE w:val="0"/>
        <w:autoSpaceDN w:val="0"/>
        <w:adjustRightInd w:val="0"/>
        <w:jc w:val="both"/>
        <w:rPr>
          <w:rFonts w:ascii="Arial" w:hAnsi="Arial" w:cs="Arial"/>
          <w:color w:val="FF0000"/>
          <w:lang w:val="ru-RU"/>
        </w:rPr>
      </w:pPr>
    </w:p>
    <w:p w:rsidR="003E11B0" w:rsidRPr="006F64CF" w:rsidRDefault="006F64CF" w:rsidP="006F64CF">
      <w:pPr>
        <w:autoSpaceDE w:val="0"/>
        <w:autoSpaceDN w:val="0"/>
        <w:adjustRightInd w:val="0"/>
        <w:jc w:val="both"/>
        <w:rPr>
          <w:rFonts w:ascii="Arial" w:hAnsi="Arial" w:cs="Arial"/>
          <w:lang w:val="ru-RU"/>
        </w:rPr>
      </w:pPr>
      <w:r w:rsidRPr="006F64CF">
        <w:rPr>
          <w:rFonts w:ascii="Arial" w:hAnsi="Arial" w:cs="Arial"/>
          <w:lang w:val="ru-RU"/>
        </w:rPr>
        <w:t>Доказивање услова је дефинисано у одељку 5. «Услови за учешће у поступку јавне набавке из чл. 75. и 76. зјн-а и упутство како се доказује испуњеност тих услова“конкурсне документације:</w:t>
      </w:r>
    </w:p>
    <w:p w:rsidR="003E11B0" w:rsidRPr="00E90BF4" w:rsidRDefault="003E11B0" w:rsidP="003E11B0">
      <w:pPr>
        <w:autoSpaceDE w:val="0"/>
        <w:autoSpaceDN w:val="0"/>
        <w:adjustRightInd w:val="0"/>
        <w:jc w:val="both"/>
        <w:rPr>
          <w:rFonts w:ascii="Arial" w:eastAsia="TimesNewRomanPS-BoldMT" w:hAnsi="Arial" w:cs="Arial"/>
          <w:b/>
          <w:bCs/>
        </w:rPr>
      </w:pPr>
      <w:r w:rsidRPr="00E90BF4">
        <w:rPr>
          <w:rFonts w:ascii="Arial" w:eastAsia="TimesNewRomanPS-BoldMT" w:hAnsi="Arial" w:cs="Arial"/>
          <w:b/>
          <w:bCs/>
          <w:lang w:val="sr-Cyrl-RS"/>
        </w:rPr>
        <w:t>„</w:t>
      </w:r>
      <w:r w:rsidRPr="00E90BF4">
        <w:rPr>
          <w:rFonts w:ascii="Arial" w:eastAsia="TimesNewRomanPS-BoldMT" w:hAnsi="Arial" w:cs="Arial"/>
          <w:b/>
          <w:bCs/>
        </w:rPr>
        <w:t>СТРАНИ ПОНУЂАЧИ</w:t>
      </w:r>
    </w:p>
    <w:p w:rsidR="003E11B0" w:rsidRPr="00E90BF4" w:rsidRDefault="003E11B0" w:rsidP="003E11B0">
      <w:pPr>
        <w:pStyle w:val="ListParagraph"/>
        <w:numPr>
          <w:ilvl w:val="0"/>
          <w:numId w:val="1"/>
        </w:numPr>
        <w:autoSpaceDE w:val="0"/>
        <w:autoSpaceDN w:val="0"/>
        <w:adjustRightInd w:val="0"/>
        <w:spacing w:after="0" w:line="240" w:lineRule="auto"/>
        <w:jc w:val="both"/>
        <w:rPr>
          <w:rFonts w:ascii="Arial" w:eastAsia="TimesNewRomanPSMT" w:hAnsi="Arial" w:cs="Arial"/>
          <w:bCs/>
          <w:sz w:val="24"/>
          <w:szCs w:val="24"/>
        </w:rPr>
      </w:pPr>
      <w:proofErr w:type="spellStart"/>
      <w:r w:rsidRPr="00E90BF4">
        <w:rPr>
          <w:rFonts w:ascii="Arial" w:eastAsia="TimesNewRomanPSMT" w:hAnsi="Arial" w:cs="Arial"/>
          <w:bCs/>
          <w:sz w:val="24"/>
          <w:szCs w:val="24"/>
        </w:rPr>
        <w:t>Ако</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се</w:t>
      </w:r>
      <w:proofErr w:type="spellEnd"/>
      <w:r w:rsidRPr="00E90BF4">
        <w:rPr>
          <w:rFonts w:ascii="Arial" w:eastAsia="TimesNewRomanPSMT" w:hAnsi="Arial" w:cs="Arial"/>
          <w:bCs/>
          <w:sz w:val="24"/>
          <w:szCs w:val="24"/>
        </w:rPr>
        <w:t xml:space="preserve"> у </w:t>
      </w:r>
      <w:proofErr w:type="spellStart"/>
      <w:r w:rsidRPr="00E90BF4">
        <w:rPr>
          <w:rFonts w:ascii="Arial" w:eastAsia="TimesNewRomanPSMT" w:hAnsi="Arial" w:cs="Arial"/>
          <w:bCs/>
          <w:sz w:val="24"/>
          <w:szCs w:val="24"/>
        </w:rPr>
        <w:t>држави</w:t>
      </w:r>
      <w:proofErr w:type="spellEnd"/>
      <w:r w:rsidRPr="00E90BF4">
        <w:rPr>
          <w:rFonts w:ascii="Arial" w:eastAsia="TimesNewRomanPSMT" w:hAnsi="Arial" w:cs="Arial"/>
          <w:bCs/>
          <w:sz w:val="24"/>
          <w:szCs w:val="24"/>
        </w:rPr>
        <w:t xml:space="preserve"> у </w:t>
      </w:r>
      <w:proofErr w:type="spellStart"/>
      <w:r w:rsidRPr="00E90BF4">
        <w:rPr>
          <w:rFonts w:ascii="Arial" w:eastAsia="TimesNewRomanPSMT" w:hAnsi="Arial" w:cs="Arial"/>
          <w:bCs/>
          <w:sz w:val="24"/>
          <w:szCs w:val="24"/>
        </w:rPr>
        <w:t>којој</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понуђач</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има</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седиште</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не</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издају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тражени</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докази</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понуђач</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може</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уместо</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доказа</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приложити</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своју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писану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изјаву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дату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под</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кривичном</w:t>
      </w:r>
      <w:proofErr w:type="spellEnd"/>
      <w:r w:rsidRPr="00E90BF4">
        <w:rPr>
          <w:rFonts w:ascii="Arial" w:eastAsia="TimesNewRomanPSMT" w:hAnsi="Arial" w:cs="Arial"/>
          <w:bCs/>
          <w:sz w:val="24"/>
          <w:szCs w:val="24"/>
        </w:rPr>
        <w:t xml:space="preserve"> и </w:t>
      </w:r>
      <w:proofErr w:type="spellStart"/>
      <w:r w:rsidRPr="00E90BF4">
        <w:rPr>
          <w:rFonts w:ascii="Arial" w:eastAsia="TimesNewRomanPSMT" w:hAnsi="Arial" w:cs="Arial"/>
          <w:bCs/>
          <w:sz w:val="24"/>
          <w:szCs w:val="24"/>
        </w:rPr>
        <w:t>материјалном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одговорношћу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оверену</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пред</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судским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или</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управним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органом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јавним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бележником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или</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другим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надлежним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органом</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те</w:t>
      </w:r>
      <w:proofErr w:type="spellEnd"/>
      <w:r w:rsidRPr="00E90BF4">
        <w:rPr>
          <w:rFonts w:ascii="Arial" w:eastAsia="TimesNewRomanPSMT" w:hAnsi="Arial" w:cs="Arial"/>
          <w:bCs/>
          <w:sz w:val="24"/>
          <w:szCs w:val="24"/>
        </w:rPr>
        <w:t xml:space="preserve"> </w:t>
      </w:r>
      <w:proofErr w:type="spellStart"/>
      <w:r w:rsidRPr="00E90BF4">
        <w:rPr>
          <w:rFonts w:ascii="Arial" w:eastAsia="TimesNewRomanPSMT" w:hAnsi="Arial" w:cs="Arial"/>
          <w:bCs/>
          <w:sz w:val="24"/>
          <w:szCs w:val="24"/>
        </w:rPr>
        <w:t>државе</w:t>
      </w:r>
      <w:proofErr w:type="spellEnd"/>
      <w:r w:rsidRPr="00E90BF4">
        <w:rPr>
          <w:rFonts w:ascii="Arial" w:eastAsia="TimesNewRomanPSMT" w:hAnsi="Arial" w:cs="Arial"/>
          <w:bCs/>
          <w:sz w:val="24"/>
          <w:szCs w:val="24"/>
        </w:rPr>
        <w:t>.</w:t>
      </w:r>
    </w:p>
    <w:p w:rsidR="003E11B0" w:rsidRPr="00E90BF4" w:rsidRDefault="003E11B0" w:rsidP="003E11B0">
      <w:pPr>
        <w:pStyle w:val="ListParagraph"/>
        <w:numPr>
          <w:ilvl w:val="0"/>
          <w:numId w:val="1"/>
        </w:numPr>
        <w:autoSpaceDE w:val="0"/>
        <w:autoSpaceDN w:val="0"/>
        <w:adjustRightInd w:val="0"/>
        <w:spacing w:after="0" w:line="240" w:lineRule="auto"/>
        <w:jc w:val="both"/>
        <w:rPr>
          <w:rFonts w:ascii="Arial" w:eastAsia="TimesNewRomanPSMT" w:hAnsi="Arial" w:cs="Arial"/>
          <w:bCs/>
          <w:sz w:val="24"/>
          <w:szCs w:val="24"/>
        </w:rPr>
      </w:pPr>
      <w:proofErr w:type="spellStart"/>
      <w:r w:rsidRPr="00E90BF4">
        <w:rPr>
          <w:rFonts w:ascii="Arial" w:eastAsia="TimesNewRomanPS-BoldMT" w:hAnsi="Arial" w:cs="Arial"/>
          <w:bCs/>
          <w:sz w:val="24"/>
          <w:szCs w:val="24"/>
        </w:rPr>
        <w:t>Ако</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понуђач</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има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седиште</w:t>
      </w:r>
      <w:proofErr w:type="spellEnd"/>
      <w:r w:rsidRPr="00E90BF4">
        <w:rPr>
          <w:rFonts w:ascii="Arial" w:eastAsia="TimesNewRomanPS-BoldMT" w:hAnsi="Arial" w:cs="Arial"/>
          <w:bCs/>
          <w:sz w:val="24"/>
          <w:szCs w:val="24"/>
        </w:rPr>
        <w:t xml:space="preserve"> у </w:t>
      </w:r>
      <w:proofErr w:type="spellStart"/>
      <w:r w:rsidRPr="00E90BF4">
        <w:rPr>
          <w:rFonts w:ascii="Arial" w:eastAsia="TimesNewRomanPS-BoldMT" w:hAnsi="Arial" w:cs="Arial"/>
          <w:bCs/>
          <w:sz w:val="24"/>
          <w:szCs w:val="24"/>
        </w:rPr>
        <w:t>другој</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држави</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наручилац</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може</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провери</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ли</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су</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документи</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којима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понуђач</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доказује</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испуњеност</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тражених</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услова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издати</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од</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стране</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надлежних</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органа</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те</w:t>
      </w:r>
      <w:proofErr w:type="spellEnd"/>
      <w:r w:rsidRPr="00E90BF4">
        <w:rPr>
          <w:rFonts w:ascii="Arial" w:eastAsia="TimesNewRomanPS-BoldMT" w:hAnsi="Arial" w:cs="Arial"/>
          <w:bCs/>
          <w:sz w:val="24"/>
          <w:szCs w:val="24"/>
        </w:rPr>
        <w:t xml:space="preserve"> </w:t>
      </w:r>
      <w:proofErr w:type="spellStart"/>
      <w:r w:rsidRPr="00E90BF4">
        <w:rPr>
          <w:rFonts w:ascii="Arial" w:eastAsia="TimesNewRomanPS-BoldMT" w:hAnsi="Arial" w:cs="Arial"/>
          <w:bCs/>
          <w:sz w:val="24"/>
          <w:szCs w:val="24"/>
        </w:rPr>
        <w:t>државе</w:t>
      </w:r>
      <w:proofErr w:type="spellEnd"/>
      <w:proofErr w:type="gramStart"/>
      <w:r w:rsidRPr="00E90BF4">
        <w:rPr>
          <w:rFonts w:ascii="Arial" w:eastAsia="TimesNewRomanPSMT" w:hAnsi="Arial" w:cs="Arial"/>
          <w:bCs/>
          <w:sz w:val="24"/>
          <w:szCs w:val="24"/>
        </w:rPr>
        <w:t>.</w:t>
      </w:r>
      <w:r w:rsidRPr="00E90BF4">
        <w:rPr>
          <w:rFonts w:ascii="Arial" w:eastAsia="TimesNewRomanPSMT" w:hAnsi="Arial" w:cs="Arial"/>
          <w:bCs/>
          <w:sz w:val="24"/>
          <w:szCs w:val="24"/>
          <w:lang w:val="sr-Cyrl-RS"/>
        </w:rPr>
        <w:t>“</w:t>
      </w:r>
      <w:proofErr w:type="gramEnd"/>
    </w:p>
    <w:p w:rsidR="003E11B0" w:rsidRPr="00E90BF4" w:rsidRDefault="003E11B0" w:rsidP="003E11B0">
      <w:pPr>
        <w:jc w:val="both"/>
        <w:rPr>
          <w:rFonts w:ascii="Arial" w:hAnsi="Arial" w:cs="Arial"/>
          <w:lang w:val="ru-RU"/>
        </w:rPr>
      </w:pPr>
    </w:p>
    <w:p w:rsidR="006F64CF" w:rsidRPr="00FF1342" w:rsidRDefault="006F64CF" w:rsidP="006F64CF">
      <w:pPr>
        <w:jc w:val="both"/>
        <w:rPr>
          <w:rFonts w:ascii="Arial" w:hAnsi="Arial" w:cs="Arial"/>
          <w:b/>
          <w:lang w:val="sr-Cyrl-CS"/>
        </w:rPr>
      </w:pPr>
      <w:r w:rsidRPr="006F64CF">
        <w:rPr>
          <w:rFonts w:ascii="Arial" w:hAnsi="Arial" w:cs="Arial"/>
          <w:b/>
        </w:rPr>
        <w:t>Dear Sirs</w:t>
      </w:r>
      <w:r w:rsidRPr="006F64CF">
        <w:rPr>
          <w:rFonts w:ascii="Arial" w:hAnsi="Arial" w:cs="Arial"/>
          <w:b/>
          <w:lang w:val="sr-Cyrl-CS"/>
        </w:rPr>
        <w:t>,</w:t>
      </w:r>
    </w:p>
    <w:p w:rsidR="006F64CF" w:rsidRDefault="006F64CF" w:rsidP="006F64CF">
      <w:pPr>
        <w:jc w:val="both"/>
        <w:rPr>
          <w:rFonts w:ascii="Arial" w:hAnsi="Arial" w:cs="Arial"/>
          <w:lang w:val="sr-Cyrl-RS"/>
        </w:rPr>
      </w:pPr>
      <w:r w:rsidRPr="006F64CF">
        <w:rPr>
          <w:rFonts w:ascii="Arial" w:hAnsi="Arial" w:cs="Arial"/>
          <w:lang w:val="en"/>
        </w:rPr>
        <w:t xml:space="preserve">Pursuant to Article 63, paragraph 3 of the Law on Public Procurement ("Official Gazette of RS" 124/2012) we submit the answer to the question regarding the preparation of bid for public procurement of 2331/2013, which refers to the purchase of </w:t>
      </w:r>
      <w:proofErr w:type="spellStart"/>
      <w:r w:rsidRPr="006F64CF">
        <w:rPr>
          <w:rFonts w:ascii="Arial" w:hAnsi="Arial" w:cs="Arial"/>
          <w:lang w:val="en"/>
        </w:rPr>
        <w:t>Taprogge</w:t>
      </w:r>
      <w:proofErr w:type="spellEnd"/>
      <w:r w:rsidRPr="006F64CF">
        <w:rPr>
          <w:rFonts w:ascii="Arial" w:hAnsi="Arial" w:cs="Arial"/>
          <w:lang w:val="en"/>
        </w:rPr>
        <w:t xml:space="preserve"> balls.</w:t>
      </w:r>
    </w:p>
    <w:p w:rsidR="006F64CF" w:rsidRPr="006F64CF" w:rsidRDefault="006F64CF" w:rsidP="006F64CF">
      <w:pPr>
        <w:jc w:val="both"/>
        <w:rPr>
          <w:rFonts w:ascii="Arial" w:hAnsi="Arial" w:cs="Arial"/>
          <w:lang w:val="sr-Cyrl-RS"/>
        </w:rPr>
      </w:pPr>
    </w:p>
    <w:p w:rsidR="006F64CF" w:rsidRDefault="006F64CF" w:rsidP="003E11B0">
      <w:pPr>
        <w:jc w:val="both"/>
        <w:rPr>
          <w:rFonts w:ascii="Arial" w:hAnsi="Arial" w:cs="Arial"/>
          <w:b/>
          <w:lang w:val="sr-Latn-RS"/>
        </w:rPr>
      </w:pPr>
      <w:r w:rsidRPr="006F64CF">
        <w:rPr>
          <w:rFonts w:ascii="Arial" w:hAnsi="Arial" w:cs="Arial"/>
          <w:b/>
          <w:lang w:val="ru-RU"/>
        </w:rPr>
        <w:t>Question</w:t>
      </w:r>
      <w:r>
        <w:rPr>
          <w:rFonts w:ascii="Arial" w:hAnsi="Arial" w:cs="Arial"/>
          <w:b/>
          <w:lang w:val="sr-Latn-RS"/>
        </w:rPr>
        <w:t xml:space="preserve"> No 1:</w:t>
      </w:r>
    </w:p>
    <w:p w:rsidR="003E11B0" w:rsidRPr="00AF5712" w:rsidRDefault="006F64CF" w:rsidP="003E11B0">
      <w:pPr>
        <w:jc w:val="both"/>
        <w:rPr>
          <w:rFonts w:ascii="Arial" w:hAnsi="Arial" w:cs="Arial"/>
          <w:lang w:val="ru-RU"/>
        </w:rPr>
      </w:pPr>
      <w:r w:rsidRPr="006F64CF">
        <w:rPr>
          <w:rFonts w:ascii="Arial" w:hAnsi="Arial" w:cs="Arial"/>
          <w:lang w:val="ru-RU"/>
        </w:rPr>
        <w:t xml:space="preserve"> Kindly let us know us if we are already listed in the registry of the bidders, as this would facilitate the preparation of all requested documents, especially in view of item 5 – evidencesand proofs.</w:t>
      </w:r>
    </w:p>
    <w:p w:rsidR="006F64CF" w:rsidRDefault="006F64CF" w:rsidP="003E11B0">
      <w:pPr>
        <w:jc w:val="both"/>
        <w:rPr>
          <w:rFonts w:ascii="Arial" w:hAnsi="Arial" w:cs="Arial"/>
          <w:b/>
          <w:lang w:val="sr-Latn-RS"/>
        </w:rPr>
      </w:pPr>
      <w:r>
        <w:rPr>
          <w:rFonts w:ascii="Arial" w:hAnsi="Arial" w:cs="Arial"/>
          <w:b/>
          <w:lang w:val="sr-Latn-RS"/>
        </w:rPr>
        <w:t>A</w:t>
      </w:r>
      <w:r w:rsidRPr="006F64CF">
        <w:rPr>
          <w:rFonts w:ascii="Arial" w:hAnsi="Arial" w:cs="Arial"/>
          <w:b/>
          <w:lang w:val="ru-RU"/>
        </w:rPr>
        <w:t>nswer</w:t>
      </w:r>
      <w:r w:rsidRPr="006F64CF">
        <w:t xml:space="preserve"> </w:t>
      </w:r>
      <w:r w:rsidRPr="006F64CF">
        <w:rPr>
          <w:rFonts w:ascii="Arial" w:hAnsi="Arial" w:cs="Arial"/>
          <w:b/>
          <w:lang w:val="ru-RU"/>
        </w:rPr>
        <w:t>No 1</w:t>
      </w:r>
      <w:r>
        <w:rPr>
          <w:rFonts w:ascii="Arial" w:hAnsi="Arial" w:cs="Arial"/>
          <w:b/>
          <w:lang w:val="sr-Latn-RS"/>
        </w:rPr>
        <w:t>:</w:t>
      </w:r>
    </w:p>
    <w:p w:rsidR="006F64CF" w:rsidRDefault="006F64CF" w:rsidP="003E11B0">
      <w:pPr>
        <w:jc w:val="both"/>
        <w:rPr>
          <w:rFonts w:ascii="Arial" w:hAnsi="Arial" w:cs="Arial"/>
          <w:b/>
          <w:lang w:val="sr-Latn-RS"/>
        </w:rPr>
      </w:pPr>
    </w:p>
    <w:p w:rsidR="006F64CF" w:rsidRDefault="006F64CF" w:rsidP="003E11B0">
      <w:pPr>
        <w:jc w:val="both"/>
        <w:rPr>
          <w:rFonts w:ascii="Arial" w:hAnsi="Arial" w:cs="Arial"/>
          <w:b/>
          <w:lang w:val="sr-Latn-RS"/>
        </w:rPr>
      </w:pPr>
    </w:p>
    <w:p w:rsidR="006F64CF" w:rsidRDefault="006F64CF" w:rsidP="003E11B0">
      <w:pPr>
        <w:jc w:val="both"/>
        <w:rPr>
          <w:rFonts w:ascii="Arial" w:hAnsi="Arial" w:cs="Arial"/>
          <w:b/>
          <w:lang w:val="sr-Latn-RS"/>
        </w:rPr>
      </w:pPr>
    </w:p>
    <w:p w:rsidR="006F64CF" w:rsidRDefault="006F64CF" w:rsidP="003E11B0">
      <w:pPr>
        <w:jc w:val="both"/>
        <w:rPr>
          <w:rFonts w:ascii="Arial" w:hAnsi="Arial" w:cs="Arial"/>
          <w:b/>
          <w:lang w:val="sr-Latn-RS"/>
        </w:rPr>
      </w:pPr>
    </w:p>
    <w:p w:rsidR="006F64CF" w:rsidRPr="006F64CF" w:rsidRDefault="006F64CF" w:rsidP="003E11B0">
      <w:pPr>
        <w:jc w:val="both"/>
        <w:rPr>
          <w:rFonts w:ascii="Arial" w:hAnsi="Arial" w:cs="Arial"/>
          <w:b/>
          <w:lang w:val="sr-Latn-RS"/>
        </w:rPr>
      </w:pPr>
    </w:p>
    <w:p w:rsidR="003E11B0" w:rsidRPr="00AF5712" w:rsidRDefault="003E11B0" w:rsidP="003E11B0">
      <w:pPr>
        <w:jc w:val="both"/>
        <w:rPr>
          <w:rFonts w:ascii="Arial" w:hAnsi="Arial" w:cs="Arial"/>
          <w:lang w:val="ru-RU"/>
        </w:rPr>
      </w:pPr>
      <w:r w:rsidRPr="00AF5712">
        <w:rPr>
          <w:rFonts w:ascii="Arial" w:hAnsi="Arial" w:cs="Arial"/>
          <w:lang w:val="ru-RU"/>
        </w:rPr>
        <w:t>Registry of bidders is a public data base of entrepreneurs and legal entities in the territory of the Republic of Serbia who fulfill mandatory requirements for participation in public procurement procedure and who can be listed entrepreneur or domestic legal entity.</w:t>
      </w:r>
    </w:p>
    <w:p w:rsidR="003E11B0" w:rsidRDefault="003E11B0" w:rsidP="003E11B0">
      <w:pPr>
        <w:jc w:val="both"/>
        <w:rPr>
          <w:rFonts w:ascii="Arial" w:hAnsi="Arial" w:cs="Arial"/>
          <w:b/>
        </w:rPr>
      </w:pPr>
      <w:r w:rsidRPr="00AF5712">
        <w:rPr>
          <w:rFonts w:ascii="Arial" w:hAnsi="Arial" w:cs="Arial"/>
          <w:lang w:val="ru-RU"/>
        </w:rPr>
        <w:t>As foreign bidder you cannot be listed in the registry of bidders.</w:t>
      </w:r>
      <w:r>
        <w:rPr>
          <w:rFonts w:ascii="Arial" w:hAnsi="Arial" w:cs="Arial"/>
          <w:b/>
        </w:rPr>
        <w:t xml:space="preserve"> </w:t>
      </w:r>
    </w:p>
    <w:p w:rsidR="00E90BF4" w:rsidRPr="006F64CF" w:rsidRDefault="00E90BF4" w:rsidP="003E11B0">
      <w:pPr>
        <w:jc w:val="both"/>
        <w:rPr>
          <w:rFonts w:ascii="Arial" w:hAnsi="Arial" w:cs="Arial"/>
          <w:b/>
          <w:lang w:val="sr-Cyrl-RS"/>
        </w:rPr>
      </w:pPr>
    </w:p>
    <w:p w:rsidR="00E90BF4" w:rsidRPr="00E90BF4" w:rsidRDefault="00E90BF4" w:rsidP="00E90BF4">
      <w:pPr>
        <w:rPr>
          <w:rFonts w:ascii="Arial" w:eastAsia="Calibri" w:hAnsi="Arial" w:cs="Arial"/>
          <w:b/>
          <w:bCs/>
          <w:iCs/>
        </w:rPr>
      </w:pPr>
      <w:r w:rsidRPr="00E90BF4">
        <w:rPr>
          <w:rFonts w:ascii="Arial" w:eastAsia="Calibri" w:hAnsi="Arial" w:cs="Arial"/>
          <w:b/>
          <w:bCs/>
          <w:iCs/>
        </w:rPr>
        <w:t>FOREIGN BIDDERS</w:t>
      </w:r>
    </w:p>
    <w:p w:rsidR="00E90BF4" w:rsidRPr="00E90BF4" w:rsidRDefault="00E90BF4" w:rsidP="00E90BF4">
      <w:pPr>
        <w:numPr>
          <w:ilvl w:val="0"/>
          <w:numId w:val="1"/>
        </w:numPr>
        <w:rPr>
          <w:rFonts w:ascii="Arial" w:eastAsia="Calibri" w:hAnsi="Arial" w:cs="Arial"/>
          <w:bCs/>
          <w:iCs/>
          <w:lang w:val="sr-Cyrl-CS"/>
        </w:rPr>
      </w:pPr>
      <w:r w:rsidRPr="00E90BF4">
        <w:rPr>
          <w:rFonts w:ascii="Arial" w:eastAsia="Calibri" w:hAnsi="Arial" w:cs="Arial"/>
          <w:bCs/>
          <w:iCs/>
          <w:lang w:val="sr-Cyrl-CS"/>
        </w:rPr>
        <w:t>If</w:t>
      </w:r>
      <w:r w:rsidRPr="00E90BF4">
        <w:rPr>
          <w:rFonts w:ascii="Arial" w:eastAsia="Calibri" w:hAnsi="Arial" w:cs="Arial"/>
          <w:bCs/>
          <w:iCs/>
        </w:rPr>
        <w:t>,</w:t>
      </w:r>
      <w:r w:rsidRPr="00E90BF4">
        <w:rPr>
          <w:rFonts w:ascii="Arial" w:eastAsia="Calibri" w:hAnsi="Arial" w:cs="Arial"/>
          <w:bCs/>
          <w:iCs/>
          <w:lang w:val="sr-Cyrl-CS"/>
        </w:rPr>
        <w:t xml:space="preserve"> in the country in which the </w:t>
      </w:r>
      <w:r w:rsidRPr="00E90BF4">
        <w:rPr>
          <w:rFonts w:ascii="Arial" w:eastAsia="Calibri" w:hAnsi="Arial" w:cs="Arial"/>
          <w:bCs/>
          <w:iCs/>
        </w:rPr>
        <w:t>B</w:t>
      </w:r>
      <w:r w:rsidRPr="00E90BF4">
        <w:rPr>
          <w:rFonts w:ascii="Arial" w:eastAsia="Calibri" w:hAnsi="Arial" w:cs="Arial"/>
          <w:bCs/>
          <w:iCs/>
          <w:lang w:val="sr-Cyrl-CS"/>
        </w:rPr>
        <w:t xml:space="preserve">idder has its </w:t>
      </w:r>
      <w:r w:rsidRPr="00E90BF4">
        <w:rPr>
          <w:rFonts w:ascii="Arial" w:eastAsia="Calibri" w:hAnsi="Arial" w:cs="Arial"/>
          <w:bCs/>
          <w:iCs/>
        </w:rPr>
        <w:t xml:space="preserve">seat, they don’t </w:t>
      </w:r>
      <w:r w:rsidRPr="00E90BF4">
        <w:rPr>
          <w:rFonts w:ascii="Arial" w:eastAsia="Calibri" w:hAnsi="Arial" w:cs="Arial"/>
          <w:bCs/>
          <w:iCs/>
          <w:lang w:val="sr-Cyrl-CS"/>
        </w:rPr>
        <w:t xml:space="preserve">issue the requested evidence, the Bidder may, instead of evidence, submit </w:t>
      </w:r>
      <w:r w:rsidRPr="00E90BF4">
        <w:rPr>
          <w:rFonts w:ascii="Arial" w:eastAsia="Calibri" w:hAnsi="Arial" w:cs="Arial"/>
          <w:bCs/>
          <w:iCs/>
        </w:rPr>
        <w:t>its</w:t>
      </w:r>
      <w:r w:rsidRPr="00E90BF4">
        <w:rPr>
          <w:rFonts w:ascii="Arial" w:eastAsia="Calibri" w:hAnsi="Arial" w:cs="Arial"/>
          <w:bCs/>
          <w:iCs/>
          <w:lang w:val="sr-Cyrl-CS"/>
        </w:rPr>
        <w:t xml:space="preserve"> written statement, </w:t>
      </w:r>
      <w:r w:rsidRPr="00E90BF4">
        <w:rPr>
          <w:rFonts w:ascii="Arial" w:eastAsia="Calibri" w:hAnsi="Arial" w:cs="Arial"/>
          <w:bCs/>
          <w:iCs/>
        </w:rPr>
        <w:t>given under criminal and material liability,</w:t>
      </w:r>
      <w:r w:rsidRPr="00E90BF4">
        <w:rPr>
          <w:rFonts w:ascii="Arial" w:eastAsia="Calibri" w:hAnsi="Arial" w:cs="Arial"/>
          <w:bCs/>
          <w:iCs/>
          <w:lang w:val="sr-Cyrl-CS"/>
        </w:rPr>
        <w:t xml:space="preserve"> before a judicial or administrative authority, public notary or other competent authority of that State.</w:t>
      </w:r>
    </w:p>
    <w:p w:rsidR="00E90BF4" w:rsidRPr="00E90BF4" w:rsidRDefault="00E90BF4" w:rsidP="00E90BF4">
      <w:pPr>
        <w:numPr>
          <w:ilvl w:val="0"/>
          <w:numId w:val="1"/>
        </w:numPr>
        <w:rPr>
          <w:rFonts w:ascii="Arial" w:eastAsia="Calibri" w:hAnsi="Arial" w:cs="Arial"/>
          <w:bCs/>
          <w:iCs/>
          <w:lang w:val="sr-Cyrl-CS"/>
        </w:rPr>
      </w:pPr>
      <w:r w:rsidRPr="00E90BF4">
        <w:rPr>
          <w:rFonts w:ascii="Arial" w:eastAsia="Calibri" w:hAnsi="Arial" w:cs="Arial"/>
          <w:bCs/>
          <w:iCs/>
          <w:lang w:val="sr-Cyrl-CS"/>
        </w:rPr>
        <w:t xml:space="preserve">If the </w:t>
      </w:r>
      <w:r w:rsidRPr="00E90BF4">
        <w:rPr>
          <w:rFonts w:ascii="Arial" w:eastAsia="Calibri" w:hAnsi="Arial" w:cs="Arial"/>
          <w:bCs/>
          <w:iCs/>
        </w:rPr>
        <w:t xml:space="preserve">Bidder </w:t>
      </w:r>
      <w:r w:rsidRPr="00E90BF4">
        <w:rPr>
          <w:rFonts w:ascii="Arial" w:eastAsia="Calibri" w:hAnsi="Arial" w:cs="Arial"/>
          <w:bCs/>
          <w:iCs/>
          <w:lang w:val="sr-Cyrl-CS"/>
        </w:rPr>
        <w:t xml:space="preserve">has its </w:t>
      </w:r>
      <w:r w:rsidRPr="00E90BF4">
        <w:rPr>
          <w:rFonts w:ascii="Arial" w:eastAsia="Calibri" w:hAnsi="Arial" w:cs="Arial"/>
          <w:bCs/>
          <w:iCs/>
        </w:rPr>
        <w:t>seat</w:t>
      </w:r>
      <w:r w:rsidRPr="00E90BF4">
        <w:rPr>
          <w:rFonts w:ascii="Arial" w:eastAsia="Calibri" w:hAnsi="Arial" w:cs="Arial"/>
          <w:bCs/>
          <w:iCs/>
          <w:lang w:val="sr-Cyrl-CS"/>
        </w:rPr>
        <w:t xml:space="preserve"> in another country, the </w:t>
      </w:r>
      <w:r w:rsidRPr="00E90BF4">
        <w:rPr>
          <w:rFonts w:ascii="Arial" w:eastAsia="Calibri" w:hAnsi="Arial" w:cs="Arial"/>
          <w:bCs/>
          <w:iCs/>
        </w:rPr>
        <w:t>Purchaser</w:t>
      </w:r>
      <w:r w:rsidRPr="00E90BF4">
        <w:rPr>
          <w:rFonts w:ascii="Arial" w:eastAsia="Calibri" w:hAnsi="Arial" w:cs="Arial"/>
          <w:bCs/>
          <w:iCs/>
          <w:lang w:val="sr-Cyrl-CS"/>
        </w:rPr>
        <w:t xml:space="preserve"> </w:t>
      </w:r>
      <w:r w:rsidRPr="00E90BF4">
        <w:rPr>
          <w:rFonts w:ascii="Arial" w:eastAsia="Calibri" w:hAnsi="Arial" w:cs="Arial"/>
          <w:bCs/>
          <w:iCs/>
        </w:rPr>
        <w:t>may</w:t>
      </w:r>
      <w:r w:rsidRPr="00E90BF4">
        <w:rPr>
          <w:rFonts w:ascii="Arial" w:eastAsia="Calibri" w:hAnsi="Arial" w:cs="Arial"/>
          <w:bCs/>
          <w:iCs/>
          <w:lang w:val="sr-Cyrl-CS"/>
        </w:rPr>
        <w:t xml:space="preserve"> verify that the documents</w:t>
      </w:r>
      <w:r w:rsidRPr="00E90BF4">
        <w:rPr>
          <w:rFonts w:ascii="Arial" w:eastAsia="Calibri" w:hAnsi="Arial" w:cs="Arial"/>
          <w:bCs/>
          <w:iCs/>
        </w:rPr>
        <w:t>,</w:t>
      </w:r>
      <w:r w:rsidRPr="00E90BF4">
        <w:rPr>
          <w:rFonts w:ascii="Arial" w:eastAsia="Calibri" w:hAnsi="Arial" w:cs="Arial"/>
          <w:bCs/>
          <w:iCs/>
          <w:lang w:val="sr-Cyrl-CS"/>
        </w:rPr>
        <w:t xml:space="preserve"> which </w:t>
      </w:r>
      <w:r w:rsidRPr="00E90BF4">
        <w:rPr>
          <w:rFonts w:ascii="Arial" w:eastAsia="Calibri" w:hAnsi="Arial" w:cs="Arial"/>
          <w:bCs/>
          <w:iCs/>
        </w:rPr>
        <w:t xml:space="preserve">prove that </w:t>
      </w:r>
      <w:r w:rsidRPr="00E90BF4">
        <w:rPr>
          <w:rFonts w:ascii="Arial" w:eastAsia="Calibri" w:hAnsi="Arial" w:cs="Arial"/>
          <w:bCs/>
          <w:iCs/>
          <w:lang w:val="sr-Cyrl-CS"/>
        </w:rPr>
        <w:t xml:space="preserve">the </w:t>
      </w:r>
      <w:r w:rsidRPr="00E90BF4">
        <w:rPr>
          <w:rFonts w:ascii="Arial" w:eastAsia="Calibri" w:hAnsi="Arial" w:cs="Arial"/>
          <w:bCs/>
          <w:iCs/>
        </w:rPr>
        <w:t>B</w:t>
      </w:r>
      <w:r w:rsidRPr="00E90BF4">
        <w:rPr>
          <w:rFonts w:ascii="Arial" w:eastAsia="Calibri" w:hAnsi="Arial" w:cs="Arial"/>
          <w:bCs/>
          <w:iCs/>
          <w:lang w:val="sr-Cyrl-CS"/>
        </w:rPr>
        <w:t xml:space="preserve">idder </w:t>
      </w:r>
      <w:r w:rsidRPr="00E90BF4">
        <w:rPr>
          <w:rFonts w:ascii="Arial" w:eastAsia="Calibri" w:hAnsi="Arial" w:cs="Arial"/>
          <w:bCs/>
          <w:iCs/>
        </w:rPr>
        <w:t>has fulfilled</w:t>
      </w:r>
      <w:r w:rsidRPr="00E90BF4">
        <w:rPr>
          <w:rFonts w:ascii="Arial" w:eastAsia="Calibri" w:hAnsi="Arial" w:cs="Arial"/>
          <w:bCs/>
          <w:iCs/>
          <w:lang w:val="sr-Cyrl-CS"/>
        </w:rPr>
        <w:t xml:space="preserve"> the required </w:t>
      </w:r>
      <w:r w:rsidRPr="00E90BF4">
        <w:rPr>
          <w:rFonts w:ascii="Arial" w:eastAsia="Calibri" w:hAnsi="Arial" w:cs="Arial"/>
          <w:bCs/>
          <w:iCs/>
        </w:rPr>
        <w:t>conditions, are</w:t>
      </w:r>
      <w:r w:rsidRPr="00E90BF4">
        <w:rPr>
          <w:rFonts w:ascii="Arial" w:eastAsia="Calibri" w:hAnsi="Arial" w:cs="Arial"/>
          <w:bCs/>
          <w:iCs/>
          <w:lang w:val="sr-Cyrl-CS"/>
        </w:rPr>
        <w:t xml:space="preserve"> issued by the competent authorities of that State.</w:t>
      </w:r>
    </w:p>
    <w:p w:rsidR="00E90BF4" w:rsidRPr="00AF5712" w:rsidRDefault="00E90BF4" w:rsidP="003E11B0">
      <w:pPr>
        <w:jc w:val="both"/>
        <w:rPr>
          <w:rFonts w:ascii="Arial" w:hAnsi="Arial" w:cs="Arial"/>
          <w:lang w:val="ru-RU"/>
        </w:rPr>
      </w:pPr>
    </w:p>
    <w:p w:rsidR="003E11B0" w:rsidRDefault="003E11B0" w:rsidP="003E11B0">
      <w:pPr>
        <w:jc w:val="center"/>
        <w:rPr>
          <w:rFonts w:ascii="Arial" w:hAnsi="Arial" w:cs="Arial"/>
          <w:b/>
          <w:sz w:val="28"/>
          <w:szCs w:val="28"/>
          <w:lang w:val="ru-RU"/>
        </w:rPr>
      </w:pPr>
    </w:p>
    <w:p w:rsidR="003E11B0" w:rsidRDefault="003E11B0" w:rsidP="003E11B0">
      <w:pPr>
        <w:rPr>
          <w:rFonts w:ascii="Arial" w:hAnsi="Arial" w:cs="Arial"/>
          <w:lang w:val="ru-RU"/>
        </w:rPr>
      </w:pPr>
      <w:r>
        <w:rPr>
          <w:rFonts w:ascii="Arial" w:hAnsi="Arial" w:cs="Arial"/>
          <w:lang w:val="ru-RU"/>
        </w:rPr>
        <w:t>У Обреновцу,</w:t>
      </w:r>
    </w:p>
    <w:p w:rsidR="003E11B0" w:rsidRPr="00122481" w:rsidRDefault="003E11B0" w:rsidP="003E11B0">
      <w:pPr>
        <w:rPr>
          <w:rFonts w:ascii="Arial" w:hAnsi="Arial" w:cs="Arial"/>
          <w:lang w:val="ru-RU"/>
        </w:rPr>
      </w:pPr>
      <w:r>
        <w:rPr>
          <w:rFonts w:ascii="Arial" w:hAnsi="Arial" w:cs="Arial"/>
          <w:lang w:val="sr-Cyrl-CS"/>
        </w:rPr>
        <w:t>13.02.</w:t>
      </w:r>
      <w:r>
        <w:rPr>
          <w:rFonts w:ascii="Arial" w:hAnsi="Arial" w:cs="Arial"/>
          <w:lang w:val="ru-RU"/>
        </w:rPr>
        <w:t>.2013.године</w:t>
      </w:r>
    </w:p>
    <w:p w:rsidR="003E11B0" w:rsidRDefault="003E11B0" w:rsidP="003E11B0">
      <w:pPr>
        <w:jc w:val="center"/>
        <w:rPr>
          <w:rFonts w:ascii="Arial" w:hAnsi="Arial" w:cs="Arial"/>
          <w:b/>
          <w:lang w:val="ru-RU"/>
        </w:rPr>
      </w:pPr>
      <w:r w:rsidRPr="000B1D09">
        <w:rPr>
          <w:rFonts w:ascii="Arial" w:hAnsi="Arial" w:cs="Arial"/>
          <w:b/>
          <w:sz w:val="28"/>
          <w:szCs w:val="28"/>
          <w:lang w:val="ru-RU"/>
        </w:rPr>
        <w:tab/>
      </w:r>
    </w:p>
    <w:p w:rsidR="003E11B0" w:rsidRDefault="003E11B0" w:rsidP="003E11B0">
      <w:pPr>
        <w:jc w:val="center"/>
        <w:rPr>
          <w:rFonts w:ascii="Arial" w:hAnsi="Arial" w:cs="Arial"/>
          <w:b/>
          <w:lang w:val="ru-RU"/>
        </w:rPr>
      </w:pPr>
      <w:r>
        <w:rPr>
          <w:rFonts w:ascii="Arial" w:hAnsi="Arial" w:cs="Arial"/>
          <w:b/>
          <w:lang w:val="ru-RU"/>
        </w:rPr>
        <w:t xml:space="preserve">                                        Комисија  за јавну набавку бр. 2331/2013</w:t>
      </w:r>
    </w:p>
    <w:p w:rsidR="00057230" w:rsidRDefault="00057230" w:rsidP="003E11B0">
      <w:pPr>
        <w:jc w:val="center"/>
        <w:rPr>
          <w:rFonts w:ascii="Arial" w:hAnsi="Arial" w:cs="Arial"/>
          <w:b/>
          <w:lang w:val="ru-RU"/>
        </w:rPr>
      </w:pPr>
    </w:p>
    <w:p w:rsidR="00057230" w:rsidRDefault="00057230" w:rsidP="003E11B0">
      <w:pPr>
        <w:jc w:val="center"/>
        <w:rPr>
          <w:rFonts w:ascii="Arial" w:hAnsi="Arial" w:cs="Arial"/>
          <w:b/>
          <w:lang w:val="ru-RU"/>
        </w:rPr>
      </w:pPr>
    </w:p>
    <w:tbl>
      <w:tblPr>
        <w:tblW w:w="0" w:type="auto"/>
        <w:tblBorders>
          <w:top w:val="nil"/>
          <w:left w:val="nil"/>
          <w:bottom w:val="nil"/>
          <w:right w:val="nil"/>
        </w:tblBorders>
        <w:tblLayout w:type="fixed"/>
        <w:tblLook w:val="0000" w:firstRow="0" w:lastRow="0" w:firstColumn="0" w:lastColumn="0" w:noHBand="0" w:noVBand="0"/>
      </w:tblPr>
      <w:tblGrid>
        <w:gridCol w:w="3777"/>
        <w:gridCol w:w="4411"/>
      </w:tblGrid>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proofErr w:type="gramStart"/>
            <w:r w:rsidRPr="00057230">
              <w:rPr>
                <w:rFonts w:ascii="Arial" w:eastAsia="Calibri" w:hAnsi="Arial" w:cs="Arial"/>
                <w:color w:val="000000"/>
              </w:rPr>
              <w:t xml:space="preserve">1 </w:t>
            </w:r>
            <w:r w:rsidRPr="00057230">
              <w:rPr>
                <w:rFonts w:ascii="Arial" w:eastAsia="Calibri" w:hAnsi="Arial" w:cs="Arial"/>
                <w:color w:val="000000"/>
                <w:lang w:val="sr-Cyrl-RS"/>
              </w:rPr>
              <w:t>.</w:t>
            </w:r>
            <w:proofErr w:type="gramEnd"/>
            <w:r w:rsidRPr="00057230">
              <w:rPr>
                <w:rFonts w:ascii="Arial" w:eastAsia="Calibri" w:hAnsi="Arial" w:cs="Arial"/>
                <w:color w:val="000000"/>
                <w:lang w:val="sr-Cyrl-RS"/>
              </w:rPr>
              <w:t xml:space="preserve">     Немања Бањалић</w:t>
            </w:r>
          </w:p>
        </w:tc>
        <w:tc>
          <w:tcPr>
            <w:tcW w:w="4411" w:type="dxa"/>
          </w:tcPr>
          <w:p w:rsidR="00057230" w:rsidRPr="00057230" w:rsidRDefault="00057230" w:rsidP="00057230">
            <w:pPr>
              <w:autoSpaceDE w:val="0"/>
              <w:autoSpaceDN w:val="0"/>
              <w:adjustRightInd w:val="0"/>
              <w:rPr>
                <w:rFonts w:ascii="Arial" w:eastAsia="Calibri" w:hAnsi="Arial" w:cs="Arial"/>
                <w:color w:val="000000"/>
              </w:rPr>
            </w:pPr>
            <w:r w:rsidRPr="00057230">
              <w:rPr>
                <w:rFonts w:ascii="Arial" w:eastAsia="Calibri" w:hAnsi="Arial" w:cs="Arial"/>
                <w:color w:val="000000"/>
              </w:rPr>
              <w:t xml:space="preserve">___________________________, </w:t>
            </w:r>
            <w:proofErr w:type="spellStart"/>
            <w:r w:rsidRPr="00057230">
              <w:rPr>
                <w:rFonts w:ascii="Arial" w:eastAsia="Calibri" w:hAnsi="Arial" w:cs="Arial"/>
                <w:color w:val="000000"/>
              </w:rPr>
              <w:t>члан</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комисије</w:t>
            </w:r>
            <w:proofErr w:type="spellEnd"/>
            <w:r w:rsidRPr="00057230">
              <w:rPr>
                <w:rFonts w:ascii="Arial" w:eastAsia="Calibri" w:hAnsi="Arial" w:cs="Arial"/>
                <w:color w:val="000000"/>
              </w:rPr>
              <w:t xml:space="preserve"> </w:t>
            </w:r>
          </w:p>
        </w:tc>
      </w:tr>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r w:rsidRPr="00057230">
              <w:rPr>
                <w:rFonts w:ascii="Arial" w:eastAsia="Calibri" w:hAnsi="Arial" w:cs="Arial"/>
                <w:color w:val="000000"/>
              </w:rPr>
              <w:t>2</w:t>
            </w:r>
            <w:r w:rsidRPr="00057230">
              <w:rPr>
                <w:rFonts w:ascii="Arial" w:eastAsia="Calibri" w:hAnsi="Arial" w:cs="Arial"/>
                <w:color w:val="000000"/>
                <w:lang w:val="sr-Cyrl-RS"/>
              </w:rPr>
              <w:t>.</w:t>
            </w:r>
            <w:r w:rsidRPr="00057230">
              <w:rPr>
                <w:rFonts w:ascii="Arial" w:eastAsia="Calibri" w:hAnsi="Arial" w:cs="Arial"/>
                <w:color w:val="000000"/>
              </w:rPr>
              <w:t xml:space="preserve"> </w:t>
            </w:r>
            <w:r w:rsidRPr="00057230">
              <w:rPr>
                <w:rFonts w:ascii="Arial" w:eastAsia="Calibri" w:hAnsi="Arial" w:cs="Arial"/>
                <w:color w:val="000000"/>
                <w:lang w:val="sr-Cyrl-RS"/>
              </w:rPr>
              <w:t xml:space="preserve">     Саша Симић</w:t>
            </w:r>
          </w:p>
        </w:tc>
        <w:tc>
          <w:tcPr>
            <w:tcW w:w="4411" w:type="dxa"/>
          </w:tcPr>
          <w:p w:rsidR="00057230" w:rsidRPr="00057230" w:rsidRDefault="00057230" w:rsidP="00057230">
            <w:pPr>
              <w:autoSpaceDE w:val="0"/>
              <w:autoSpaceDN w:val="0"/>
              <w:adjustRightInd w:val="0"/>
              <w:rPr>
                <w:rFonts w:ascii="Arial" w:eastAsia="Calibri" w:hAnsi="Arial" w:cs="Arial"/>
                <w:color w:val="000000"/>
              </w:rPr>
            </w:pPr>
            <w:r w:rsidRPr="00057230">
              <w:rPr>
                <w:rFonts w:ascii="Arial" w:eastAsia="Calibri" w:hAnsi="Arial" w:cs="Arial"/>
                <w:color w:val="000000"/>
              </w:rPr>
              <w:t xml:space="preserve">___________________________, </w:t>
            </w:r>
            <w:proofErr w:type="spellStart"/>
            <w:r w:rsidRPr="00057230">
              <w:rPr>
                <w:rFonts w:ascii="Arial" w:eastAsia="Calibri" w:hAnsi="Arial" w:cs="Arial"/>
                <w:color w:val="000000"/>
              </w:rPr>
              <w:t>заменик</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члана</w:t>
            </w:r>
            <w:proofErr w:type="spellEnd"/>
            <w:r w:rsidRPr="00057230">
              <w:rPr>
                <w:rFonts w:ascii="Arial" w:eastAsia="Calibri" w:hAnsi="Arial" w:cs="Arial"/>
                <w:color w:val="000000"/>
              </w:rPr>
              <w:t xml:space="preserve"> </w:t>
            </w:r>
          </w:p>
        </w:tc>
      </w:tr>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r w:rsidRPr="00057230">
              <w:rPr>
                <w:rFonts w:ascii="Arial" w:eastAsia="Calibri" w:hAnsi="Arial" w:cs="Arial"/>
                <w:color w:val="000000"/>
              </w:rPr>
              <w:t>3</w:t>
            </w:r>
            <w:r w:rsidRPr="00057230">
              <w:rPr>
                <w:rFonts w:ascii="Arial" w:eastAsia="Calibri" w:hAnsi="Arial" w:cs="Arial"/>
                <w:color w:val="000000"/>
                <w:lang w:val="sr-Cyrl-RS"/>
              </w:rPr>
              <w:t>.</w:t>
            </w:r>
            <w:r w:rsidRPr="00057230">
              <w:rPr>
                <w:rFonts w:ascii="Arial" w:eastAsia="Calibri" w:hAnsi="Arial" w:cs="Arial"/>
                <w:color w:val="000000"/>
              </w:rPr>
              <w:t xml:space="preserve"> </w:t>
            </w:r>
            <w:r w:rsidRPr="00057230">
              <w:rPr>
                <w:rFonts w:ascii="Arial" w:eastAsia="Calibri" w:hAnsi="Arial" w:cs="Arial"/>
                <w:color w:val="000000"/>
                <w:lang w:val="sr-Cyrl-RS"/>
              </w:rPr>
              <w:t xml:space="preserve">    Весна Стојановић     </w:t>
            </w:r>
          </w:p>
        </w:tc>
        <w:tc>
          <w:tcPr>
            <w:tcW w:w="4411" w:type="dxa"/>
          </w:tcPr>
          <w:p w:rsidR="00057230" w:rsidRPr="00057230" w:rsidRDefault="00057230" w:rsidP="00057230">
            <w:pPr>
              <w:autoSpaceDE w:val="0"/>
              <w:autoSpaceDN w:val="0"/>
              <w:adjustRightInd w:val="0"/>
              <w:rPr>
                <w:rFonts w:ascii="Arial" w:eastAsia="Calibri" w:hAnsi="Arial" w:cs="Arial"/>
                <w:color w:val="000000"/>
                <w:lang w:val="sr-Cyrl-RS"/>
              </w:rPr>
            </w:pPr>
            <w:r w:rsidRPr="00057230">
              <w:rPr>
                <w:rFonts w:ascii="Arial" w:eastAsia="Calibri" w:hAnsi="Arial" w:cs="Arial"/>
                <w:color w:val="000000"/>
              </w:rPr>
              <w:t xml:space="preserve">___________________________, </w:t>
            </w:r>
          </w:p>
          <w:p w:rsidR="00057230" w:rsidRPr="00057230" w:rsidRDefault="00057230" w:rsidP="00057230">
            <w:pPr>
              <w:autoSpaceDE w:val="0"/>
              <w:autoSpaceDN w:val="0"/>
              <w:adjustRightInd w:val="0"/>
              <w:rPr>
                <w:rFonts w:ascii="Arial" w:eastAsia="Calibri" w:hAnsi="Arial" w:cs="Arial"/>
                <w:color w:val="000000"/>
              </w:rPr>
            </w:pPr>
            <w:proofErr w:type="spellStart"/>
            <w:r w:rsidRPr="00057230">
              <w:rPr>
                <w:rFonts w:ascii="Arial" w:eastAsia="Calibri" w:hAnsi="Arial" w:cs="Arial"/>
                <w:color w:val="000000"/>
              </w:rPr>
              <w:t>члан</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комисије</w:t>
            </w:r>
            <w:proofErr w:type="spellEnd"/>
          </w:p>
        </w:tc>
      </w:tr>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proofErr w:type="gramStart"/>
            <w:r w:rsidRPr="00057230">
              <w:rPr>
                <w:rFonts w:ascii="Arial" w:eastAsia="Calibri" w:hAnsi="Arial" w:cs="Arial"/>
                <w:color w:val="000000"/>
              </w:rPr>
              <w:t xml:space="preserve">4 </w:t>
            </w:r>
            <w:r w:rsidRPr="00057230">
              <w:rPr>
                <w:rFonts w:ascii="Arial" w:eastAsia="Calibri" w:hAnsi="Arial" w:cs="Arial"/>
                <w:color w:val="000000"/>
                <w:lang w:val="sr-Cyrl-RS"/>
              </w:rPr>
              <w:t>.</w:t>
            </w:r>
            <w:proofErr w:type="gramEnd"/>
            <w:r w:rsidRPr="00057230">
              <w:rPr>
                <w:rFonts w:ascii="Arial" w:eastAsia="Calibri" w:hAnsi="Arial" w:cs="Arial"/>
                <w:color w:val="000000"/>
                <w:lang w:val="sr-Cyrl-RS"/>
              </w:rPr>
              <w:t xml:space="preserve">   Срђан Јанковић,        </w:t>
            </w:r>
          </w:p>
        </w:tc>
        <w:tc>
          <w:tcPr>
            <w:tcW w:w="4411" w:type="dxa"/>
          </w:tcPr>
          <w:p w:rsidR="00057230" w:rsidRPr="00057230" w:rsidRDefault="00057230" w:rsidP="00057230">
            <w:pPr>
              <w:autoSpaceDE w:val="0"/>
              <w:autoSpaceDN w:val="0"/>
              <w:adjustRightInd w:val="0"/>
              <w:rPr>
                <w:rFonts w:ascii="Arial" w:eastAsia="Calibri" w:hAnsi="Arial" w:cs="Arial"/>
                <w:color w:val="000000"/>
              </w:rPr>
            </w:pPr>
            <w:r w:rsidRPr="00057230">
              <w:rPr>
                <w:rFonts w:ascii="Arial" w:eastAsia="Calibri" w:hAnsi="Arial" w:cs="Arial"/>
                <w:color w:val="000000"/>
              </w:rPr>
              <w:t xml:space="preserve">___________________________, </w:t>
            </w:r>
            <w:proofErr w:type="spellStart"/>
            <w:r w:rsidRPr="00057230">
              <w:rPr>
                <w:rFonts w:ascii="Arial" w:eastAsia="Calibri" w:hAnsi="Arial" w:cs="Arial"/>
                <w:color w:val="000000"/>
              </w:rPr>
              <w:t>заменик</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члана</w:t>
            </w:r>
            <w:proofErr w:type="spellEnd"/>
          </w:p>
        </w:tc>
      </w:tr>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proofErr w:type="gramStart"/>
            <w:r w:rsidRPr="00057230">
              <w:rPr>
                <w:rFonts w:ascii="Arial" w:eastAsia="Calibri" w:hAnsi="Arial" w:cs="Arial"/>
                <w:color w:val="000000"/>
              </w:rPr>
              <w:t xml:space="preserve">5 </w:t>
            </w:r>
            <w:r w:rsidRPr="00057230">
              <w:rPr>
                <w:rFonts w:ascii="Arial" w:eastAsia="Calibri" w:hAnsi="Arial" w:cs="Arial"/>
                <w:color w:val="000000"/>
                <w:lang w:val="sr-Cyrl-RS"/>
              </w:rPr>
              <w:t>.</w:t>
            </w:r>
            <w:proofErr w:type="gramEnd"/>
            <w:r w:rsidRPr="00057230">
              <w:rPr>
                <w:rFonts w:ascii="Arial" w:eastAsia="Calibri" w:hAnsi="Arial" w:cs="Arial"/>
                <w:color w:val="000000"/>
                <w:lang w:val="sr-Cyrl-RS"/>
              </w:rPr>
              <w:t xml:space="preserve">   Иван Ђурђевић </w:t>
            </w:r>
          </w:p>
        </w:tc>
        <w:tc>
          <w:tcPr>
            <w:tcW w:w="4411" w:type="dxa"/>
          </w:tcPr>
          <w:p w:rsidR="00057230" w:rsidRPr="00057230" w:rsidRDefault="00057230" w:rsidP="00057230">
            <w:pPr>
              <w:autoSpaceDE w:val="0"/>
              <w:autoSpaceDN w:val="0"/>
              <w:adjustRightInd w:val="0"/>
              <w:rPr>
                <w:rFonts w:ascii="Arial" w:eastAsia="Calibri" w:hAnsi="Arial" w:cs="Arial"/>
                <w:color w:val="000000"/>
              </w:rPr>
            </w:pPr>
            <w:r w:rsidRPr="00057230">
              <w:rPr>
                <w:rFonts w:ascii="Arial" w:eastAsia="Calibri" w:hAnsi="Arial" w:cs="Arial"/>
                <w:color w:val="000000"/>
              </w:rPr>
              <w:t xml:space="preserve">___________________________, </w:t>
            </w:r>
            <w:proofErr w:type="spellStart"/>
            <w:r w:rsidRPr="00057230">
              <w:rPr>
                <w:rFonts w:ascii="Arial" w:eastAsia="Calibri" w:hAnsi="Arial" w:cs="Arial"/>
                <w:color w:val="000000"/>
              </w:rPr>
              <w:t>члан</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комисије</w:t>
            </w:r>
            <w:proofErr w:type="spellEnd"/>
            <w:r w:rsidRPr="00057230">
              <w:rPr>
                <w:rFonts w:ascii="Arial" w:eastAsia="Calibri" w:hAnsi="Arial" w:cs="Arial"/>
                <w:color w:val="000000"/>
              </w:rPr>
              <w:t xml:space="preserve"> </w:t>
            </w:r>
          </w:p>
        </w:tc>
      </w:tr>
      <w:tr w:rsidR="00057230" w:rsidRPr="00057230" w:rsidTr="00337FE9">
        <w:tblPrEx>
          <w:tblCellMar>
            <w:top w:w="0" w:type="dxa"/>
            <w:bottom w:w="0" w:type="dxa"/>
          </w:tblCellMar>
        </w:tblPrEx>
        <w:trPr>
          <w:trHeight w:val="103"/>
        </w:trPr>
        <w:tc>
          <w:tcPr>
            <w:tcW w:w="3777" w:type="dxa"/>
          </w:tcPr>
          <w:p w:rsidR="00057230" w:rsidRPr="00057230" w:rsidRDefault="00057230" w:rsidP="00057230">
            <w:pPr>
              <w:autoSpaceDE w:val="0"/>
              <w:autoSpaceDN w:val="0"/>
              <w:adjustRightInd w:val="0"/>
              <w:rPr>
                <w:rFonts w:ascii="Arial" w:eastAsia="Calibri" w:hAnsi="Arial" w:cs="Arial"/>
                <w:color w:val="000000"/>
                <w:lang w:val="sr-Cyrl-RS"/>
              </w:rPr>
            </w:pPr>
            <w:proofErr w:type="gramStart"/>
            <w:r w:rsidRPr="00057230">
              <w:rPr>
                <w:rFonts w:ascii="Arial" w:eastAsia="Calibri" w:hAnsi="Arial" w:cs="Arial"/>
                <w:color w:val="000000"/>
              </w:rPr>
              <w:t xml:space="preserve">6 </w:t>
            </w:r>
            <w:r w:rsidRPr="00057230">
              <w:rPr>
                <w:rFonts w:ascii="Arial" w:eastAsia="Calibri" w:hAnsi="Arial" w:cs="Arial"/>
                <w:color w:val="000000"/>
                <w:lang w:val="sr-Cyrl-RS"/>
              </w:rPr>
              <w:t>.</w:t>
            </w:r>
            <w:proofErr w:type="gramEnd"/>
            <w:r w:rsidRPr="00057230">
              <w:rPr>
                <w:rFonts w:ascii="Arial" w:eastAsia="Calibri" w:hAnsi="Arial" w:cs="Arial"/>
                <w:color w:val="000000"/>
                <w:lang w:val="sr-Cyrl-RS"/>
              </w:rPr>
              <w:t xml:space="preserve">   Атина Недељковић  </w:t>
            </w:r>
          </w:p>
        </w:tc>
        <w:tc>
          <w:tcPr>
            <w:tcW w:w="4411" w:type="dxa"/>
          </w:tcPr>
          <w:p w:rsidR="00057230" w:rsidRPr="00057230" w:rsidRDefault="00057230" w:rsidP="00057230">
            <w:pPr>
              <w:autoSpaceDE w:val="0"/>
              <w:autoSpaceDN w:val="0"/>
              <w:adjustRightInd w:val="0"/>
              <w:rPr>
                <w:rFonts w:ascii="Arial" w:eastAsia="Calibri" w:hAnsi="Arial" w:cs="Arial"/>
                <w:color w:val="000000"/>
                <w:lang w:val="sr-Cyrl-RS"/>
              </w:rPr>
            </w:pPr>
            <w:r w:rsidRPr="00057230">
              <w:rPr>
                <w:rFonts w:ascii="Arial" w:eastAsia="Calibri" w:hAnsi="Arial" w:cs="Arial"/>
                <w:color w:val="000000"/>
              </w:rPr>
              <w:t xml:space="preserve">___________________________, </w:t>
            </w:r>
            <w:proofErr w:type="spellStart"/>
            <w:r w:rsidRPr="00057230">
              <w:rPr>
                <w:rFonts w:ascii="Arial" w:eastAsia="Calibri" w:hAnsi="Arial" w:cs="Arial"/>
                <w:color w:val="000000"/>
              </w:rPr>
              <w:t>заменик</w:t>
            </w:r>
            <w:proofErr w:type="spellEnd"/>
            <w:r w:rsidRPr="00057230">
              <w:rPr>
                <w:rFonts w:ascii="Arial" w:eastAsia="Calibri" w:hAnsi="Arial" w:cs="Arial"/>
                <w:color w:val="000000"/>
              </w:rPr>
              <w:t xml:space="preserve"> </w:t>
            </w:r>
            <w:proofErr w:type="spellStart"/>
            <w:r w:rsidRPr="00057230">
              <w:rPr>
                <w:rFonts w:ascii="Arial" w:eastAsia="Calibri" w:hAnsi="Arial" w:cs="Arial"/>
                <w:color w:val="000000"/>
              </w:rPr>
              <w:t>члана</w:t>
            </w:r>
            <w:proofErr w:type="spellEnd"/>
            <w:r w:rsidRPr="00057230">
              <w:rPr>
                <w:rFonts w:ascii="Arial" w:eastAsia="Calibri" w:hAnsi="Arial" w:cs="Arial"/>
                <w:color w:val="000000"/>
              </w:rPr>
              <w:t xml:space="preserve"> </w:t>
            </w:r>
          </w:p>
        </w:tc>
      </w:tr>
    </w:tbl>
    <w:p w:rsidR="0045657A" w:rsidRDefault="0045657A" w:rsidP="00057230">
      <w:pPr>
        <w:jc w:val="center"/>
      </w:pPr>
    </w:p>
    <w:sectPr w:rsidR="0045657A" w:rsidSect="00FF134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5"/>
    <w:rsid w:val="00057230"/>
    <w:rsid w:val="003E11B0"/>
    <w:rsid w:val="0045657A"/>
    <w:rsid w:val="006F64CF"/>
    <w:rsid w:val="00737DF5"/>
    <w:rsid w:val="007A3E0F"/>
    <w:rsid w:val="00E51F76"/>
    <w:rsid w:val="00E90BF4"/>
    <w:rsid w:val="00FF13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3395">
      <w:bodyDiv w:val="1"/>
      <w:marLeft w:val="0"/>
      <w:marRight w:val="0"/>
      <w:marTop w:val="0"/>
      <w:marBottom w:val="0"/>
      <w:divBdr>
        <w:top w:val="none" w:sz="0" w:space="0" w:color="auto"/>
        <w:left w:val="none" w:sz="0" w:space="0" w:color="auto"/>
        <w:bottom w:val="none" w:sz="0" w:space="0" w:color="auto"/>
        <w:right w:val="none" w:sz="0" w:space="0" w:color="auto"/>
      </w:divBdr>
      <w:divsChild>
        <w:div w:id="982739117">
          <w:marLeft w:val="0"/>
          <w:marRight w:val="0"/>
          <w:marTop w:val="0"/>
          <w:marBottom w:val="0"/>
          <w:divBdr>
            <w:top w:val="none" w:sz="0" w:space="0" w:color="auto"/>
            <w:left w:val="none" w:sz="0" w:space="0" w:color="auto"/>
            <w:bottom w:val="none" w:sz="0" w:space="0" w:color="auto"/>
            <w:right w:val="none" w:sz="0" w:space="0" w:color="auto"/>
          </w:divBdr>
          <w:divsChild>
            <w:div w:id="1963876560">
              <w:marLeft w:val="0"/>
              <w:marRight w:val="0"/>
              <w:marTop w:val="0"/>
              <w:marBottom w:val="0"/>
              <w:divBdr>
                <w:top w:val="none" w:sz="0" w:space="0" w:color="auto"/>
                <w:left w:val="none" w:sz="0" w:space="0" w:color="auto"/>
                <w:bottom w:val="none" w:sz="0" w:space="0" w:color="auto"/>
                <w:right w:val="none" w:sz="0" w:space="0" w:color="auto"/>
              </w:divBdr>
              <w:divsChild>
                <w:div w:id="1474711651">
                  <w:marLeft w:val="0"/>
                  <w:marRight w:val="0"/>
                  <w:marTop w:val="0"/>
                  <w:marBottom w:val="0"/>
                  <w:divBdr>
                    <w:top w:val="none" w:sz="0" w:space="0" w:color="auto"/>
                    <w:left w:val="none" w:sz="0" w:space="0" w:color="auto"/>
                    <w:bottom w:val="none" w:sz="0" w:space="0" w:color="auto"/>
                    <w:right w:val="none" w:sz="0" w:space="0" w:color="auto"/>
                  </w:divBdr>
                  <w:divsChild>
                    <w:div w:id="1360009567">
                      <w:marLeft w:val="0"/>
                      <w:marRight w:val="0"/>
                      <w:marTop w:val="0"/>
                      <w:marBottom w:val="0"/>
                      <w:divBdr>
                        <w:top w:val="none" w:sz="0" w:space="0" w:color="auto"/>
                        <w:left w:val="none" w:sz="0" w:space="0" w:color="auto"/>
                        <w:bottom w:val="none" w:sz="0" w:space="0" w:color="auto"/>
                        <w:right w:val="none" w:sz="0" w:space="0" w:color="auto"/>
                      </w:divBdr>
                      <w:divsChild>
                        <w:div w:id="576599616">
                          <w:marLeft w:val="0"/>
                          <w:marRight w:val="0"/>
                          <w:marTop w:val="0"/>
                          <w:marBottom w:val="0"/>
                          <w:divBdr>
                            <w:top w:val="none" w:sz="0" w:space="0" w:color="auto"/>
                            <w:left w:val="none" w:sz="0" w:space="0" w:color="auto"/>
                            <w:bottom w:val="none" w:sz="0" w:space="0" w:color="auto"/>
                            <w:right w:val="none" w:sz="0" w:space="0" w:color="auto"/>
                          </w:divBdr>
                          <w:divsChild>
                            <w:div w:id="866214840">
                              <w:marLeft w:val="0"/>
                              <w:marRight w:val="0"/>
                              <w:marTop w:val="0"/>
                              <w:marBottom w:val="0"/>
                              <w:divBdr>
                                <w:top w:val="none" w:sz="0" w:space="0" w:color="auto"/>
                                <w:left w:val="none" w:sz="0" w:space="0" w:color="auto"/>
                                <w:bottom w:val="none" w:sz="0" w:space="0" w:color="auto"/>
                                <w:right w:val="none" w:sz="0" w:space="0" w:color="auto"/>
                              </w:divBdr>
                              <w:divsChild>
                                <w:div w:id="561596482">
                                  <w:marLeft w:val="0"/>
                                  <w:marRight w:val="0"/>
                                  <w:marTop w:val="0"/>
                                  <w:marBottom w:val="0"/>
                                  <w:divBdr>
                                    <w:top w:val="none" w:sz="0" w:space="0" w:color="auto"/>
                                    <w:left w:val="none" w:sz="0" w:space="0" w:color="auto"/>
                                    <w:bottom w:val="none" w:sz="0" w:space="0" w:color="auto"/>
                                    <w:right w:val="none" w:sz="0" w:space="0" w:color="auto"/>
                                  </w:divBdr>
                                  <w:divsChild>
                                    <w:div w:id="325867427">
                                      <w:marLeft w:val="60"/>
                                      <w:marRight w:val="0"/>
                                      <w:marTop w:val="0"/>
                                      <w:marBottom w:val="0"/>
                                      <w:divBdr>
                                        <w:top w:val="none" w:sz="0" w:space="0" w:color="auto"/>
                                        <w:left w:val="none" w:sz="0" w:space="0" w:color="auto"/>
                                        <w:bottom w:val="none" w:sz="0" w:space="0" w:color="auto"/>
                                        <w:right w:val="none" w:sz="0" w:space="0" w:color="auto"/>
                                      </w:divBdr>
                                      <w:divsChild>
                                        <w:div w:id="1389570281">
                                          <w:marLeft w:val="0"/>
                                          <w:marRight w:val="0"/>
                                          <w:marTop w:val="0"/>
                                          <w:marBottom w:val="0"/>
                                          <w:divBdr>
                                            <w:top w:val="none" w:sz="0" w:space="0" w:color="auto"/>
                                            <w:left w:val="none" w:sz="0" w:space="0" w:color="auto"/>
                                            <w:bottom w:val="none" w:sz="0" w:space="0" w:color="auto"/>
                                            <w:right w:val="none" w:sz="0" w:space="0" w:color="auto"/>
                                          </w:divBdr>
                                          <w:divsChild>
                                            <w:div w:id="671181396">
                                              <w:marLeft w:val="0"/>
                                              <w:marRight w:val="0"/>
                                              <w:marTop w:val="0"/>
                                              <w:marBottom w:val="120"/>
                                              <w:divBdr>
                                                <w:top w:val="single" w:sz="6" w:space="0" w:color="F5F5F5"/>
                                                <w:left w:val="single" w:sz="6" w:space="0" w:color="F5F5F5"/>
                                                <w:bottom w:val="single" w:sz="6" w:space="0" w:color="F5F5F5"/>
                                                <w:right w:val="single" w:sz="6" w:space="0" w:color="F5F5F5"/>
                                              </w:divBdr>
                                              <w:divsChild>
                                                <w:div w:id="159542794">
                                                  <w:marLeft w:val="0"/>
                                                  <w:marRight w:val="0"/>
                                                  <w:marTop w:val="0"/>
                                                  <w:marBottom w:val="0"/>
                                                  <w:divBdr>
                                                    <w:top w:val="none" w:sz="0" w:space="0" w:color="auto"/>
                                                    <w:left w:val="none" w:sz="0" w:space="0" w:color="auto"/>
                                                    <w:bottom w:val="none" w:sz="0" w:space="0" w:color="auto"/>
                                                    <w:right w:val="none" w:sz="0" w:space="0" w:color="auto"/>
                                                  </w:divBdr>
                                                  <w:divsChild>
                                                    <w:div w:id="1955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3</cp:revision>
  <cp:lastPrinted>2014-02-14T09:56:00Z</cp:lastPrinted>
  <dcterms:created xsi:type="dcterms:W3CDTF">2014-02-14T09:59:00Z</dcterms:created>
  <dcterms:modified xsi:type="dcterms:W3CDTF">2014-02-14T12:01:00Z</dcterms:modified>
</cp:coreProperties>
</file>