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FD76AF" w:rsidRDefault="000F0A61" w:rsidP="00131177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Pr="00FD76A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 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FD76AF">
        <w:rPr>
          <w:rFonts w:ascii="Arial" w:hAnsi="Arial"/>
          <w:lang w:val="sr-Cyrl-RS"/>
        </w:rPr>
        <w:t>Место:Обреновац</w:t>
      </w:r>
    </w:p>
    <w:p w:rsidR="0046231D" w:rsidRPr="00831B11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FD76AF">
        <w:rPr>
          <w:rFonts w:ascii="Arial" w:hAnsi="Arial"/>
        </w:rPr>
        <w:t>Број:</w:t>
      </w:r>
      <w:r w:rsidR="00831B11">
        <w:rPr>
          <w:rFonts w:ascii="Arial" w:hAnsi="Arial"/>
          <w:lang w:val="sr-Cyrl-RS"/>
        </w:rPr>
        <w:t xml:space="preserve"> 105-Е.03.01-339939/</w:t>
      </w:r>
      <w:r w:rsidR="00185431">
        <w:rPr>
          <w:rFonts w:ascii="Arial" w:hAnsi="Arial"/>
          <w:lang w:val="sr-Latn-RS"/>
        </w:rPr>
        <w:t>11</w:t>
      </w:r>
      <w:r w:rsidR="00831B11">
        <w:rPr>
          <w:rFonts w:ascii="Arial" w:hAnsi="Arial"/>
          <w:lang w:val="sr-Cyrl-RS"/>
        </w:rPr>
        <w:t>-2017</w:t>
      </w:r>
    </w:p>
    <w:p w:rsidR="0046231D" w:rsidRPr="00831B11" w:rsidRDefault="00185431" w:rsidP="00AA24BB">
      <w:pPr>
        <w:tabs>
          <w:tab w:val="left" w:pos="23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01.09.2017.</w:t>
      </w:r>
      <w:r w:rsidR="00AA24BB">
        <w:rPr>
          <w:rFonts w:ascii="Arial" w:hAnsi="Arial"/>
          <w:lang w:val="sr-Cyrl-RS"/>
        </w:rPr>
        <w:tab/>
      </w:r>
    </w:p>
    <w:p w:rsidR="0046231D" w:rsidRPr="00FD76A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FD76AF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FD76A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FD76AF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FD76AF">
        <w:rPr>
          <w:rFonts w:ascii="Arial" w:hAnsi="Arial"/>
          <w:iCs/>
        </w:rPr>
        <w:t>На основу члана 54. и 63. Закона о јавним набавк</w:t>
      </w:r>
      <w:r w:rsidR="008C28EE" w:rsidRPr="00FD76AF">
        <w:rPr>
          <w:rFonts w:ascii="Arial" w:hAnsi="Arial"/>
          <w:iCs/>
        </w:rPr>
        <w:t>ама („Службeни глaсник РС", бр</w:t>
      </w:r>
      <w:r w:rsidR="008C28EE" w:rsidRPr="00FD76AF">
        <w:rPr>
          <w:rFonts w:ascii="Arial" w:hAnsi="Arial"/>
          <w:iCs/>
          <w:lang w:val="sr-Cyrl-RS"/>
        </w:rPr>
        <w:t>.</w:t>
      </w:r>
      <w:r w:rsidRPr="00FD76AF">
        <w:rPr>
          <w:rFonts w:ascii="Arial" w:hAnsi="Arial"/>
          <w:iCs/>
        </w:rPr>
        <w:t xml:space="preserve"> 124/12</w:t>
      </w:r>
      <w:r w:rsidR="008C28EE" w:rsidRPr="00FD76AF">
        <w:rPr>
          <w:rFonts w:ascii="Arial" w:hAnsi="Arial"/>
          <w:iCs/>
          <w:lang w:val="ru-RU"/>
        </w:rPr>
        <w:t>,</w:t>
      </w:r>
      <w:r w:rsidR="00C04B2D" w:rsidRPr="00FD76AF">
        <w:rPr>
          <w:rFonts w:ascii="Arial" w:hAnsi="Arial"/>
          <w:iCs/>
          <w:lang w:val="ru-RU"/>
        </w:rPr>
        <w:t xml:space="preserve"> </w:t>
      </w:r>
      <w:r w:rsidRPr="00FD76AF">
        <w:rPr>
          <w:rFonts w:ascii="Arial" w:hAnsi="Arial"/>
          <w:iCs/>
        </w:rPr>
        <w:t>14/15</w:t>
      </w:r>
      <w:r w:rsidR="00C04B2D" w:rsidRPr="00FD76AF">
        <w:rPr>
          <w:rFonts w:ascii="Arial" w:hAnsi="Arial"/>
          <w:iCs/>
          <w:lang w:val="sr-Cyrl-RS"/>
        </w:rPr>
        <w:t xml:space="preserve"> </w:t>
      </w:r>
      <w:r w:rsidR="008C28EE" w:rsidRPr="00FD76AF">
        <w:rPr>
          <w:rFonts w:ascii="Arial" w:hAnsi="Arial"/>
          <w:iCs/>
          <w:lang w:val="sr-Cyrl-RS"/>
        </w:rPr>
        <w:t>и 68/15</w:t>
      </w:r>
      <w:r w:rsidRPr="00FD76AF">
        <w:rPr>
          <w:rFonts w:ascii="Arial" w:hAnsi="Arial"/>
          <w:iCs/>
        </w:rPr>
        <w:t xml:space="preserve">), Комисија за јавну набавку број </w:t>
      </w:r>
      <w:r w:rsidR="00722BF1" w:rsidRPr="00FD76AF">
        <w:rPr>
          <w:rFonts w:ascii="Arial" w:hAnsi="Arial"/>
          <w:lang w:val="en-US"/>
        </w:rPr>
        <w:t>3000/0343/2017 (105/2017)</w:t>
      </w:r>
      <w:r w:rsidRPr="00FD76AF">
        <w:rPr>
          <w:rFonts w:ascii="Arial" w:hAnsi="Arial"/>
          <w:lang w:val="ru-RU"/>
        </w:rPr>
        <w:t xml:space="preserve">, </w:t>
      </w:r>
      <w:r w:rsidRPr="00FD76AF">
        <w:rPr>
          <w:rFonts w:ascii="Arial" w:hAnsi="Arial"/>
        </w:rPr>
        <w:t xml:space="preserve">за набавку </w:t>
      </w:r>
      <w:r w:rsidR="00722BF1" w:rsidRPr="00FD76AF">
        <w:rPr>
          <w:rFonts w:ascii="Arial" w:hAnsi="Arial"/>
          <w:lang w:val="ru-RU"/>
        </w:rPr>
        <w:t xml:space="preserve">добара </w:t>
      </w:r>
      <w:r w:rsidR="00722BF1" w:rsidRPr="00FD76AF">
        <w:rPr>
          <w:rFonts w:ascii="Arial" w:hAnsi="Arial"/>
          <w:lang w:val="sr-Cyrl-RS"/>
        </w:rPr>
        <w:t>„Делови зa турбoaгрeгaт ЛMЗ TEНT A“</w:t>
      </w:r>
      <w:r w:rsidRPr="00FD76AF">
        <w:rPr>
          <w:rFonts w:ascii="Arial" w:hAnsi="Arial"/>
        </w:rPr>
        <w:t xml:space="preserve">, </w:t>
      </w:r>
      <w:r w:rsidRPr="00FD76A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FD76AF">
        <w:rPr>
          <w:rFonts w:ascii="Arial" w:hAnsi="Arial"/>
          <w:iCs/>
        </w:rPr>
        <w:t>ДОДАТНЕ ИНФОРМАЦИЈЕ ИЛИ ПОЈАШЊЕЊА</w:t>
      </w:r>
    </w:p>
    <w:p w:rsidR="00823373" w:rsidRPr="00FD76A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>У ВЕЗИ СА ПРИПРЕМАЊЕМ ПОНУДЕ</w:t>
      </w:r>
    </w:p>
    <w:p w:rsidR="00823373" w:rsidRPr="00FD76AF" w:rsidRDefault="00722BF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FD76AF">
        <w:rPr>
          <w:rFonts w:ascii="Arial" w:hAnsi="Arial"/>
          <w:b/>
          <w:iCs/>
        </w:rPr>
        <w:t xml:space="preserve">Бр. </w:t>
      </w:r>
      <w:r w:rsidR="00A966B7">
        <w:rPr>
          <w:rFonts w:ascii="Arial" w:hAnsi="Arial"/>
          <w:b/>
          <w:iCs/>
          <w:lang w:val="sr-Latn-RS"/>
        </w:rPr>
        <w:t>2</w:t>
      </w:r>
      <w:r w:rsidR="00823373" w:rsidRPr="00FD76AF">
        <w:rPr>
          <w:rFonts w:ascii="Arial" w:hAnsi="Arial"/>
          <w:b/>
          <w:iCs/>
        </w:rPr>
        <w:t>.</w:t>
      </w:r>
    </w:p>
    <w:p w:rsidR="00823373" w:rsidRPr="00FD76A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FD76AF">
        <w:rPr>
          <w:rFonts w:ascii="Arial" w:hAnsi="Arial"/>
          <w:iCs/>
          <w:lang w:val="sr-Cyrl-RS"/>
        </w:rPr>
        <w:t xml:space="preserve">дана </w:t>
      </w:r>
      <w:r w:rsidRPr="00FD76AF">
        <w:rPr>
          <w:rFonts w:ascii="Arial" w:hAnsi="Arial"/>
          <w:iCs/>
        </w:rPr>
        <w:t xml:space="preserve">пријема захтева </w:t>
      </w:r>
      <w:r w:rsidR="008C28EE" w:rsidRPr="00FD76A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FD76AF">
        <w:rPr>
          <w:rFonts w:ascii="Arial" w:hAnsi="Arial"/>
          <w:iCs/>
          <w:lang w:val="sr-Cyrl-RS"/>
        </w:rPr>
        <w:t>Н</w:t>
      </w:r>
      <w:r w:rsidR="008C28EE" w:rsidRPr="00FD76AF">
        <w:rPr>
          <w:rFonts w:ascii="Arial" w:hAnsi="Arial"/>
          <w:iCs/>
        </w:rPr>
        <w:t>аручиоца</w:t>
      </w:r>
      <w:r w:rsidR="008C28EE" w:rsidRPr="00FD76AF">
        <w:rPr>
          <w:rFonts w:ascii="Arial" w:hAnsi="Arial"/>
          <w:iCs/>
          <w:lang w:val="sr-Cyrl-RS"/>
        </w:rPr>
        <w:t>,</w:t>
      </w:r>
      <w:r w:rsidR="008C28EE" w:rsidRPr="00FD76AF">
        <w:rPr>
          <w:rFonts w:ascii="Arial" w:hAnsi="Arial"/>
          <w:b/>
          <w:i/>
          <w:iCs/>
          <w:lang w:val="sr-Cyrl-RS"/>
        </w:rPr>
        <w:t xml:space="preserve">  </w:t>
      </w:r>
      <w:r w:rsidRPr="00FD76AF">
        <w:rPr>
          <w:rFonts w:ascii="Arial" w:hAnsi="Arial"/>
          <w:iCs/>
        </w:rPr>
        <w:t>следеће информације, односно појашњења:</w:t>
      </w:r>
    </w:p>
    <w:p w:rsidR="00823373" w:rsidRPr="00FD76AF" w:rsidRDefault="00823373" w:rsidP="003317EC">
      <w:pPr>
        <w:rPr>
          <w:rFonts w:ascii="Arial" w:hAnsi="Arial"/>
          <w:iCs/>
          <w:lang w:val="ru-RU"/>
        </w:rPr>
      </w:pPr>
      <w:r w:rsidRPr="00FD76AF">
        <w:rPr>
          <w:rFonts w:ascii="Arial" w:hAnsi="Arial"/>
          <w:b/>
          <w:iCs/>
        </w:rPr>
        <w:t>ПИТАЊЕ 1</w:t>
      </w:r>
      <w:r w:rsidRPr="00FD76AF">
        <w:rPr>
          <w:rFonts w:ascii="Arial" w:hAnsi="Arial"/>
          <w:iCs/>
        </w:rPr>
        <w:t>:</w:t>
      </w:r>
      <w:r w:rsidRPr="00FD76AF">
        <w:rPr>
          <w:rFonts w:ascii="Arial" w:hAnsi="Arial"/>
          <w:iCs/>
          <w:lang w:val="ru-RU"/>
        </w:rPr>
        <w:t xml:space="preserve"> </w:t>
      </w:r>
    </w:p>
    <w:p w:rsidR="00722BF1" w:rsidRPr="00A966B7" w:rsidRDefault="00A966B7" w:rsidP="00722BF1">
      <w:pPr>
        <w:rPr>
          <w:rFonts w:ascii="Arial" w:hAnsi="Arial"/>
          <w:iCs/>
        </w:rPr>
      </w:pPr>
      <w:r w:rsidRPr="00A966B7">
        <w:rPr>
          <w:rFonts w:ascii="Arial" w:hAnsi="Arial"/>
          <w:iCs/>
        </w:rPr>
        <w:t xml:space="preserve">Молимо да се услов из </w:t>
      </w:r>
      <w:r w:rsidR="00253B59">
        <w:rPr>
          <w:rFonts w:ascii="Arial" w:hAnsi="Arial"/>
          <w:iCs/>
        </w:rPr>
        <w:t>тачке 3.3 тендерске документаци</w:t>
      </w:r>
      <w:r w:rsidRPr="00A966B7">
        <w:rPr>
          <w:rFonts w:ascii="Arial" w:hAnsi="Arial"/>
          <w:iCs/>
        </w:rPr>
        <w:t>је – „достава склопних и свих</w:t>
      </w:r>
      <w:r>
        <w:rPr>
          <w:rFonts w:ascii="Arial" w:hAnsi="Arial"/>
          <w:iCs/>
          <w:lang w:val="sr-Cyrl-RS"/>
        </w:rPr>
        <w:t xml:space="preserve"> других </w:t>
      </w:r>
      <w:r w:rsidRPr="00A966B7">
        <w:rPr>
          <w:rFonts w:ascii="Arial" w:hAnsi="Arial"/>
          <w:iCs/>
        </w:rPr>
        <w:t xml:space="preserve"> цртежа</w:t>
      </w:r>
      <w:r>
        <w:rPr>
          <w:rFonts w:ascii="Arial" w:hAnsi="Arial"/>
          <w:iCs/>
          <w:lang w:val="sr-Cyrl-RS"/>
        </w:rPr>
        <w:t xml:space="preserve"> делова наведених у списку“ изостави, зато што произвођач не даје ту документацију, због</w:t>
      </w:r>
      <w:r w:rsidR="00253B59">
        <w:rPr>
          <w:rFonts w:ascii="Arial" w:hAnsi="Arial"/>
          <w:iCs/>
          <w:lang w:val="sr-Cyrl-RS"/>
        </w:rPr>
        <w:t xml:space="preserve"> </w:t>
      </w:r>
      <w:r>
        <w:rPr>
          <w:rFonts w:ascii="Arial" w:hAnsi="Arial"/>
          <w:iCs/>
          <w:lang w:val="sr-Cyrl-RS"/>
        </w:rPr>
        <w:t>тога што је евидентирано више случајева израде резервних делова других фирми на основу њихо</w:t>
      </w:r>
      <w:r w:rsidR="00253B59">
        <w:rPr>
          <w:rFonts w:ascii="Arial" w:hAnsi="Arial"/>
          <w:iCs/>
          <w:lang w:val="sr-Cyrl-RS"/>
        </w:rPr>
        <w:t>в</w:t>
      </w:r>
      <w:r>
        <w:rPr>
          <w:rFonts w:ascii="Arial" w:hAnsi="Arial"/>
          <w:iCs/>
          <w:lang w:val="sr-Cyrl-RS"/>
        </w:rPr>
        <w:t>е документације,</w:t>
      </w:r>
      <w:r w:rsidR="00586709">
        <w:rPr>
          <w:rFonts w:ascii="Arial" w:hAnsi="Arial"/>
          <w:iCs/>
          <w:lang w:val="sr-Cyrl-RS"/>
        </w:rPr>
        <w:t xml:space="preserve"> што </w:t>
      </w:r>
      <w:r>
        <w:rPr>
          <w:rFonts w:ascii="Arial" w:hAnsi="Arial"/>
          <w:iCs/>
          <w:lang w:val="sr-Cyrl-RS"/>
        </w:rPr>
        <w:t>се сматра злоупотребом њихове конструк</w:t>
      </w:r>
      <w:r w:rsidR="00586709">
        <w:rPr>
          <w:rFonts w:ascii="Arial" w:hAnsi="Arial"/>
          <w:iCs/>
          <w:lang w:val="sr-Cyrl-RS"/>
        </w:rPr>
        <w:t>ционе документације – интелектуалне својине.</w:t>
      </w:r>
    </w:p>
    <w:p w:rsidR="00722BF1" w:rsidRPr="00FD76AF" w:rsidRDefault="00722BF1" w:rsidP="003317EC">
      <w:pPr>
        <w:rPr>
          <w:rFonts w:ascii="Arial" w:hAnsi="Arial"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  <w:lang w:val="sr-Latn-RS"/>
        </w:rPr>
      </w:pPr>
      <w:r w:rsidRPr="00FD76AF">
        <w:rPr>
          <w:rFonts w:ascii="Arial" w:hAnsi="Arial"/>
          <w:b/>
          <w:iCs/>
        </w:rPr>
        <w:t xml:space="preserve">ОДГОВОР 1: </w:t>
      </w:r>
    </w:p>
    <w:p w:rsidR="00F439C3" w:rsidRPr="00F439C3" w:rsidRDefault="00F439C3" w:rsidP="00051D51">
      <w:pPr>
        <w:spacing w:after="240"/>
        <w:rPr>
          <w:rFonts w:ascii="Arial" w:hAnsi="Arial"/>
          <w:iCs/>
          <w:lang w:val="sr-Latn-RS"/>
        </w:rPr>
      </w:pPr>
      <w:r w:rsidRPr="00F439C3">
        <w:rPr>
          <w:rFonts w:ascii="Arial" w:hAnsi="Arial"/>
          <w:iCs/>
          <w:lang w:val="sr-Latn-RS"/>
        </w:rPr>
        <w:t>Наручилац остаје при захтеву да се уз понуду доставе склопни и сви други цртежи делова наведених у списку. Није неопходно да се доставе детаљни радионички цртежи на основу којих се делови израђују, већ је довољно да  на  цртежима буду приказане основне димензије делова и склопова, што не угрожава права интелектуалне својине произвођача.</w:t>
      </w:r>
    </w:p>
    <w:p w:rsidR="00823373" w:rsidRPr="00FD76AF" w:rsidRDefault="00823373" w:rsidP="003317EC">
      <w:pPr>
        <w:rPr>
          <w:rFonts w:ascii="Arial" w:hAnsi="Arial"/>
          <w:b/>
          <w:iCs/>
        </w:rPr>
      </w:pPr>
      <w:r w:rsidRPr="00FD76AF">
        <w:rPr>
          <w:rFonts w:ascii="Arial" w:hAnsi="Arial"/>
          <w:b/>
          <w:iCs/>
        </w:rPr>
        <w:t xml:space="preserve">ПИТAЊE 2: </w:t>
      </w:r>
    </w:p>
    <w:p w:rsidR="002F2559" w:rsidRPr="00253B59" w:rsidRDefault="00586709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253B59">
        <w:rPr>
          <w:rFonts w:ascii="Arial" w:hAnsi="Arial" w:cs="Arial"/>
          <w:iCs/>
          <w:sz w:val="22"/>
          <w:szCs w:val="22"/>
          <w:lang w:val="sr-Cyrl-RS"/>
        </w:rPr>
        <w:t>Према унутрашњој политици контроле квалитета произвођача</w:t>
      </w:r>
      <w:r w:rsidR="00F439C3" w:rsidRPr="00253B59">
        <w:rPr>
          <w:rFonts w:ascii="Arial" w:hAnsi="Arial" w:cs="Arial"/>
          <w:iCs/>
          <w:sz w:val="22"/>
          <w:szCs w:val="22"/>
          <w:lang w:val="sr-Latn-RS"/>
        </w:rPr>
        <w:t xml:space="preserve"> </w:t>
      </w:r>
      <w:r w:rsidRPr="00253B59">
        <w:rPr>
          <w:rFonts w:ascii="Arial" w:hAnsi="Arial" w:cs="Arial"/>
          <w:iCs/>
          <w:sz w:val="22"/>
          <w:szCs w:val="22"/>
          <w:lang w:val="sr-Cyrl-RS"/>
        </w:rPr>
        <w:t>планови контроле су посебни документи, који се разрађују за крупне склопове и детаље (турбине, роторе, дијафрагме, усмерне апарате итд.). Контролу квалитета израде резервних делова врши Дирекција квалитета у процесу њихове израде. Свака операција се евидентира у унутрашњим журналима</w:t>
      </w:r>
      <w:r w:rsidR="008944D2" w:rsidRPr="00253B59">
        <w:rPr>
          <w:rFonts w:ascii="Arial" w:hAnsi="Arial" w:cs="Arial"/>
          <w:iCs/>
          <w:sz w:val="22"/>
          <w:szCs w:val="22"/>
          <w:lang w:val="sr-Cyrl-RS"/>
        </w:rPr>
        <w:t>.</w:t>
      </w:r>
      <w:r w:rsidRPr="00253B59">
        <w:rPr>
          <w:rFonts w:ascii="Arial" w:hAnsi="Arial" w:cs="Arial"/>
          <w:iCs/>
          <w:sz w:val="22"/>
          <w:szCs w:val="22"/>
          <w:lang w:val="sr-Cyrl-RS"/>
        </w:rPr>
        <w:t>После завршетка израде издаје се Сертификат о квалитету, који потврђује да су резервни делови израђени према стандардима предузећа и захтевима конструкционе документације. С обзиром да резервни делови из предметног тендера не улазе у више наведене склопове и делове, произвођач на исте не разрађује</w:t>
      </w:r>
      <w:r w:rsidR="008944D2" w:rsidRPr="00253B59">
        <w:rPr>
          <w:rFonts w:ascii="Arial" w:hAnsi="Arial" w:cs="Arial"/>
          <w:iCs/>
          <w:sz w:val="22"/>
          <w:szCs w:val="22"/>
          <w:lang w:val="sr-Cyrl-RS"/>
        </w:rPr>
        <w:t xml:space="preserve"> </w:t>
      </w:r>
      <w:r w:rsidRPr="00253B59">
        <w:rPr>
          <w:rFonts w:ascii="Arial" w:hAnsi="Arial" w:cs="Arial"/>
          <w:iCs/>
          <w:sz w:val="22"/>
          <w:szCs w:val="22"/>
          <w:lang w:val="sr-Cyrl-RS"/>
        </w:rPr>
        <w:t>посебне планове контроле, па молимо да се и тај услов искључи из захтева тендерске документације.</w:t>
      </w:r>
    </w:p>
    <w:p w:rsidR="002F2559" w:rsidRPr="00253B59" w:rsidRDefault="002F2559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53B59">
        <w:rPr>
          <w:rFonts w:ascii="Arial" w:hAnsi="Arial"/>
          <w:iCs/>
          <w:lang w:val="sr-Cyrl-RS"/>
        </w:rPr>
        <w:br w:type="page"/>
      </w:r>
    </w:p>
    <w:p w:rsidR="00722BF1" w:rsidRPr="00586709" w:rsidRDefault="00722BF1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586709" w:rsidRDefault="00586709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586709" w:rsidRPr="00586709" w:rsidRDefault="00586709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  <w:r w:rsidRPr="00FD76AF">
        <w:rPr>
          <w:rFonts w:ascii="Arial" w:hAnsi="Arial" w:cs="Arial"/>
          <w:b/>
          <w:iCs/>
          <w:sz w:val="22"/>
          <w:szCs w:val="22"/>
        </w:rPr>
        <w:t>ОДГОВОР</w:t>
      </w:r>
      <w:r w:rsidR="008944D2">
        <w:rPr>
          <w:rFonts w:ascii="Arial" w:hAnsi="Arial" w:cs="Arial"/>
          <w:b/>
          <w:iCs/>
          <w:sz w:val="22"/>
          <w:szCs w:val="22"/>
          <w:lang w:val="sr-Cyrl-RS"/>
        </w:rPr>
        <w:t xml:space="preserve"> 2</w:t>
      </w:r>
      <w:r w:rsidRPr="00FD76AF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BA1988" w:rsidRDefault="00BA198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BA1988" w:rsidRPr="00BA1988" w:rsidRDefault="00BA1988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A72EC4" w:rsidRDefault="00BA1988" w:rsidP="00BA1988">
      <w:pPr>
        <w:pStyle w:val="ListParagraph"/>
        <w:ind w:left="0"/>
        <w:rPr>
          <w:rFonts w:ascii="Arial" w:hAnsi="Arial"/>
          <w:iCs/>
          <w:lang w:val="sr-Latn-RS"/>
        </w:rPr>
      </w:pPr>
      <w:r w:rsidRPr="00BA1988">
        <w:rPr>
          <w:rFonts w:ascii="Arial" w:hAnsi="Arial"/>
          <w:iCs/>
          <w:lang w:val="sr-Latn-RS"/>
        </w:rPr>
        <w:t xml:space="preserve">Наручилац остаје при захтеву из КД да се </w:t>
      </w:r>
      <w:r w:rsidR="00185431">
        <w:rPr>
          <w:rFonts w:ascii="Arial" w:hAnsi="Arial"/>
          <w:iCs/>
          <w:lang w:val="sr-Cyrl-RS"/>
        </w:rPr>
        <w:t>у</w:t>
      </w:r>
      <w:r w:rsidRPr="00BA1988">
        <w:rPr>
          <w:rFonts w:ascii="Arial" w:hAnsi="Arial"/>
          <w:iCs/>
          <w:lang w:val="sr-Latn-RS"/>
        </w:rPr>
        <w:t>з понуду достави Предлог плана контроле квалитета са којим наручилац треба да се сагласи. План контроле квалитета треба да буде усаглашен са наручиоцем пре потписивања уговора.</w:t>
      </w:r>
    </w:p>
    <w:p w:rsidR="00BA1988" w:rsidRPr="00BA1988" w:rsidRDefault="00BA1988" w:rsidP="00BA1988">
      <w:pPr>
        <w:pStyle w:val="ListParagraph"/>
        <w:ind w:left="0"/>
        <w:rPr>
          <w:rFonts w:ascii="Arial" w:hAnsi="Arial"/>
          <w:iCs/>
          <w:lang w:val="sr-Latn-RS"/>
        </w:rPr>
      </w:pPr>
    </w:p>
    <w:p w:rsidR="008944D2" w:rsidRDefault="008944D2" w:rsidP="008944D2">
      <w:pPr>
        <w:rPr>
          <w:rFonts w:ascii="Arial" w:hAnsi="Arial"/>
          <w:b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3:</w:t>
      </w:r>
      <w:r w:rsidRPr="00FD76AF">
        <w:rPr>
          <w:rFonts w:ascii="Arial" w:hAnsi="Arial"/>
          <w:b/>
          <w:iCs/>
        </w:rPr>
        <w:t xml:space="preserve"> </w:t>
      </w:r>
    </w:p>
    <w:p w:rsidR="00092731" w:rsidRPr="00092731" w:rsidRDefault="00760645" w:rsidP="008944D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тендерској документацији је наведено да рок испоруке не може бити дужи од 90 дана од закључења уговора. С обзиром да су код произвођача оригиналних резервних делова у току гдишњи одмори и редовно одржавање производних погона, молимо Вас да наведни рок испоруке продужите на 120 дана.</w:t>
      </w:r>
    </w:p>
    <w:p w:rsidR="00092731" w:rsidRPr="00092731" w:rsidRDefault="00092731" w:rsidP="008944D2">
      <w:pPr>
        <w:rPr>
          <w:rFonts w:ascii="Arial" w:hAnsi="Arial"/>
          <w:iCs/>
          <w:lang w:val="sr-Cyrl-RS"/>
        </w:rPr>
      </w:pPr>
    </w:p>
    <w:p w:rsidR="008944D2" w:rsidRPr="00FD76AF" w:rsidRDefault="008944D2" w:rsidP="008944D2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</w:rPr>
      </w:pPr>
      <w:r w:rsidRPr="00FD76AF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FD76AF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8944D2" w:rsidRPr="00BA1988" w:rsidRDefault="00BA198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Latn-RS"/>
        </w:rPr>
      </w:pPr>
      <w:r w:rsidRPr="00BA1988">
        <w:rPr>
          <w:rFonts w:ascii="Arial" w:hAnsi="Arial"/>
          <w:iCs/>
          <w:lang w:val="sr-Cyrl-RS"/>
        </w:rPr>
        <w:t>Наручилац је сагласан да се рок испоруке продужи на 100 дана</w:t>
      </w:r>
      <w:r>
        <w:rPr>
          <w:rFonts w:ascii="Arial" w:hAnsi="Arial"/>
          <w:iCs/>
          <w:lang w:val="sr-Latn-RS"/>
        </w:rPr>
        <w:t>.</w:t>
      </w:r>
    </w:p>
    <w:p w:rsidR="008944D2" w:rsidRDefault="008944D2" w:rsidP="008944D2">
      <w:pPr>
        <w:rPr>
          <w:rFonts w:ascii="Arial" w:hAnsi="Arial"/>
          <w:b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ПИТAЊE </w:t>
      </w:r>
      <w:r>
        <w:rPr>
          <w:rFonts w:ascii="Arial" w:hAnsi="Arial"/>
          <w:b/>
          <w:iCs/>
          <w:lang w:val="sr-Cyrl-RS"/>
        </w:rPr>
        <w:t>4:</w:t>
      </w:r>
      <w:r w:rsidRPr="00FD76AF">
        <w:rPr>
          <w:rFonts w:ascii="Arial" w:hAnsi="Arial"/>
          <w:b/>
          <w:iCs/>
        </w:rPr>
        <w:t xml:space="preserve"> </w:t>
      </w:r>
    </w:p>
    <w:p w:rsidR="00AC0DA7" w:rsidRDefault="00AE00C6" w:rsidP="008944D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тендерској документацији страна 14 тачка 4.2 додатни услови за учешће у поступку јавне набавке</w:t>
      </w:r>
      <w:r w:rsidR="008E6BAB">
        <w:rPr>
          <w:rFonts w:ascii="Arial" w:hAnsi="Arial"/>
          <w:iCs/>
          <w:lang w:val="sr-Cyrl-RS"/>
        </w:rPr>
        <w:t xml:space="preserve"> потребно је доставити референц листу понуђача. </w:t>
      </w:r>
    </w:p>
    <w:p w:rsidR="008E6BAB" w:rsidRPr="00AC0DA7" w:rsidRDefault="008E6BAB" w:rsidP="008944D2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Да ли је могуће прихватити и референц листу произвођача?</w:t>
      </w:r>
    </w:p>
    <w:p w:rsidR="008944D2" w:rsidRDefault="008944D2" w:rsidP="008944D2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FD76AF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ru-RU"/>
        </w:rPr>
        <w:t>4:</w:t>
      </w:r>
    </w:p>
    <w:p w:rsidR="008E6BAB" w:rsidRPr="00BA1988" w:rsidRDefault="00BA1988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BA1988">
        <w:rPr>
          <w:rFonts w:ascii="Arial" w:hAnsi="Arial"/>
          <w:iCs/>
          <w:lang w:val="sr-Latn-RS"/>
        </w:rPr>
        <w:t>Наручилац остаје при захтеву из</w:t>
      </w:r>
      <w:r>
        <w:rPr>
          <w:rFonts w:ascii="Arial" w:hAnsi="Arial"/>
          <w:iCs/>
          <w:lang w:val="sr-Latn-RS"/>
        </w:rPr>
        <w:t xml:space="preserve"> </w:t>
      </w:r>
      <w:r>
        <w:rPr>
          <w:rFonts w:ascii="Arial" w:hAnsi="Arial"/>
          <w:iCs/>
          <w:lang w:val="sr-Cyrl-RS"/>
        </w:rPr>
        <w:t>тачк</w:t>
      </w:r>
      <w:r>
        <w:rPr>
          <w:rFonts w:ascii="Arial" w:hAnsi="Arial"/>
          <w:iCs/>
          <w:lang w:val="sr-Latn-RS"/>
        </w:rPr>
        <w:t>e</w:t>
      </w:r>
      <w:r>
        <w:rPr>
          <w:rFonts w:ascii="Arial" w:hAnsi="Arial"/>
          <w:iCs/>
          <w:lang w:val="sr-Cyrl-RS"/>
        </w:rPr>
        <w:t xml:space="preserve"> 4.2 додатни услови за учешће у поступку јавне набавке конкурсне документације у делу пословног капацитета.</w:t>
      </w:r>
    </w:p>
    <w:p w:rsidR="008E6BAB" w:rsidRDefault="008E6BAB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</w:p>
    <w:p w:rsidR="00DB25EE" w:rsidRPr="00A72EC4" w:rsidRDefault="00DB25EE" w:rsidP="00DB25EE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72EC4">
        <w:rPr>
          <w:rFonts w:ascii="Arial" w:hAnsi="Arial"/>
          <w:iCs/>
        </w:rPr>
        <w:t>Порталу јавн</w:t>
      </w:r>
      <w:r w:rsidR="00C04B2D" w:rsidRPr="00A72EC4">
        <w:rPr>
          <w:rFonts w:ascii="Arial" w:hAnsi="Arial"/>
          <w:iCs/>
        </w:rPr>
        <w:t xml:space="preserve">их набавки и интернет страници </w:t>
      </w:r>
      <w:r w:rsidR="00C04B2D" w:rsidRPr="00A72EC4">
        <w:rPr>
          <w:rFonts w:ascii="Arial" w:hAnsi="Arial"/>
          <w:iCs/>
          <w:lang w:val="sr-Cyrl-RS"/>
        </w:rPr>
        <w:t>Н</w:t>
      </w:r>
      <w:r w:rsidRPr="00A72EC4">
        <w:rPr>
          <w:rFonts w:ascii="Arial" w:hAnsi="Arial"/>
          <w:iCs/>
        </w:rPr>
        <w:t>аручиоца.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823373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BA1988" w:rsidRPr="00BA1988" w:rsidRDefault="00BA1988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</w:p>
    <w:p w:rsidR="00185431" w:rsidRPr="00D97D88" w:rsidRDefault="00FC01E0" w:rsidP="00185431">
      <w:pPr>
        <w:jc w:val="right"/>
        <w:rPr>
          <w:rFonts w:ascii="Arial" w:hAnsi="Arial"/>
          <w:iCs/>
        </w:rPr>
      </w:pPr>
      <w:r w:rsidRPr="00A72EC4">
        <w:rPr>
          <w:rFonts w:ascii="Arial" w:hAnsi="Arial"/>
          <w:iCs/>
          <w:lang w:val="sr-Cyrl-RS"/>
        </w:rPr>
        <w:tab/>
      </w:r>
      <w:bookmarkStart w:id="0" w:name="_GoBack"/>
      <w:bookmarkEnd w:id="0"/>
    </w:p>
    <w:p w:rsidR="000F0A61" w:rsidRPr="00D97D88" w:rsidRDefault="00823373" w:rsidP="002F2559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29" w:rsidRDefault="00804129" w:rsidP="004A61DF">
      <w:pPr>
        <w:spacing w:line="240" w:lineRule="auto"/>
      </w:pPr>
      <w:r>
        <w:separator/>
      </w:r>
    </w:p>
  </w:endnote>
  <w:endnote w:type="continuationSeparator" w:id="0">
    <w:p w:rsidR="00804129" w:rsidRDefault="0080412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54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85431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29" w:rsidRDefault="00804129" w:rsidP="004A61DF">
      <w:pPr>
        <w:spacing w:line="240" w:lineRule="auto"/>
      </w:pPr>
      <w:r>
        <w:separator/>
      </w:r>
    </w:p>
  </w:footnote>
  <w:footnote w:type="continuationSeparator" w:id="0">
    <w:p w:rsidR="00804129" w:rsidRDefault="0080412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CF96060" wp14:editId="45F3049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854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85431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D74C3"/>
    <w:rsid w:val="001F070C"/>
    <w:rsid w:val="001F1486"/>
    <w:rsid w:val="00201791"/>
    <w:rsid w:val="0020564A"/>
    <w:rsid w:val="002070F8"/>
    <w:rsid w:val="00217E8C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22BF1"/>
    <w:rsid w:val="00753BB6"/>
    <w:rsid w:val="00754F8B"/>
    <w:rsid w:val="00760645"/>
    <w:rsid w:val="007631C7"/>
    <w:rsid w:val="007F61D9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4BC3"/>
    <w:rsid w:val="00B031F4"/>
    <w:rsid w:val="00B163E4"/>
    <w:rsid w:val="00B30C16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B53F8"/>
    <w:rsid w:val="00EC2442"/>
    <w:rsid w:val="00ED75CE"/>
    <w:rsid w:val="00F01885"/>
    <w:rsid w:val="00F33CFB"/>
    <w:rsid w:val="00F439C3"/>
    <w:rsid w:val="00F514F8"/>
    <w:rsid w:val="00F75895"/>
    <w:rsid w:val="00F85B9B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B4B97"/>
    <w:rsid w:val="003F6662"/>
    <w:rsid w:val="00AB6448"/>
    <w:rsid w:val="00AD0781"/>
    <w:rsid w:val="00BB0D9F"/>
    <w:rsid w:val="00D708D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3</cp:revision>
  <cp:lastPrinted>2017-09-01T07:48:00Z</cp:lastPrinted>
  <dcterms:created xsi:type="dcterms:W3CDTF">2017-09-01T11:40:00Z</dcterms:created>
  <dcterms:modified xsi:type="dcterms:W3CDTF">2017-09-01T11:41:00Z</dcterms:modified>
</cp:coreProperties>
</file>