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0" w:rsidRDefault="00057790" w:rsidP="00D4725E">
      <w:pPr>
        <w:tabs>
          <w:tab w:val="left" w:pos="8640"/>
        </w:tabs>
        <w:spacing w:line="240" w:lineRule="auto"/>
        <w:ind w:right="-19" w:hanging="426"/>
        <w:rPr>
          <w:rFonts w:ascii="Arial" w:hAnsi="Arial"/>
          <w:lang w:val="en-US"/>
        </w:rPr>
      </w:pPr>
    </w:p>
    <w:p w:rsidR="00D4725E" w:rsidRPr="00C27C5B" w:rsidRDefault="00D4725E" w:rsidP="00D4725E">
      <w:pPr>
        <w:tabs>
          <w:tab w:val="left" w:pos="8640"/>
        </w:tabs>
        <w:spacing w:line="240" w:lineRule="auto"/>
        <w:ind w:right="-19" w:hanging="426"/>
        <w:rPr>
          <w:rFonts w:ascii="Arial" w:hAnsi="Arial"/>
        </w:rPr>
      </w:pPr>
      <w:r w:rsidRPr="00C27C5B">
        <w:rPr>
          <w:rFonts w:ascii="Arial" w:hAnsi="Arial"/>
          <w:lang w:val="ru-RU"/>
        </w:rPr>
        <w:t>ЈАВНО ПРЕДУЗЕЋЕ „ЕЛЕКТРОПРИВРЕДА СРБИЈЕ</w:t>
      </w:r>
      <w:r w:rsidRPr="00C27C5B">
        <w:rPr>
          <w:rFonts w:ascii="Arial" w:hAnsi="Arial"/>
        </w:rPr>
        <w:t>“ БЕОГРАД</w:t>
      </w:r>
    </w:p>
    <w:p w:rsidR="00D4725E" w:rsidRPr="00C27C5B" w:rsidRDefault="00D4725E" w:rsidP="00D4725E">
      <w:pPr>
        <w:tabs>
          <w:tab w:val="left" w:pos="8640"/>
        </w:tabs>
        <w:spacing w:line="240" w:lineRule="auto"/>
        <w:ind w:left="-360" w:right="-19"/>
        <w:rPr>
          <w:rFonts w:ascii="Arial" w:hAnsi="Arial"/>
          <w:lang w:val="ru-RU"/>
        </w:rPr>
      </w:pPr>
      <w:r w:rsidRPr="00C27C5B">
        <w:rPr>
          <w:rFonts w:ascii="Arial" w:hAnsi="Arial"/>
          <w:lang w:val="ru-RU"/>
        </w:rPr>
        <w:t xml:space="preserve">ЕЛЕКТРОПРИВРЕДА СРБИЈЕ </w:t>
      </w:r>
      <w:r w:rsidRPr="00C27C5B">
        <w:rPr>
          <w:rFonts w:ascii="Arial" w:hAnsi="Arial"/>
          <w:lang w:val="sr-Cyrl-RS"/>
        </w:rPr>
        <w:t xml:space="preserve">ЈП </w:t>
      </w:r>
      <w:r w:rsidRPr="00C27C5B">
        <w:rPr>
          <w:rFonts w:ascii="Arial" w:hAnsi="Arial"/>
        </w:rPr>
        <w:t xml:space="preserve"> БЕОГРАД-ОГРАНАК ТЕНТ</w:t>
      </w:r>
    </w:p>
    <w:p w:rsidR="00D4725E" w:rsidRPr="00C27C5B" w:rsidRDefault="00D4725E" w:rsidP="00D4725E">
      <w:pPr>
        <w:spacing w:line="240" w:lineRule="auto"/>
        <w:ind w:left="-360"/>
        <w:jc w:val="left"/>
        <w:rPr>
          <w:rFonts w:ascii="Arial" w:hAnsi="Arial"/>
          <w:lang w:val="en-US"/>
        </w:rPr>
      </w:pPr>
      <w:r w:rsidRPr="00C27C5B">
        <w:rPr>
          <w:rFonts w:ascii="Arial" w:hAnsi="Arial"/>
        </w:rPr>
        <w:t>Улица</w:t>
      </w:r>
      <w:r w:rsidRPr="00C27C5B">
        <w:rPr>
          <w:rFonts w:ascii="Arial" w:hAnsi="Arial"/>
          <w:lang w:val="sr-Cyrl-RS"/>
        </w:rPr>
        <w:t>:</w:t>
      </w:r>
      <w:r w:rsidRPr="00C27C5B">
        <w:rPr>
          <w:rFonts w:ascii="Arial" w:hAnsi="Arial"/>
        </w:rPr>
        <w:t xml:space="preserve"> Богољуба Урошевића- Црног  број 44.</w:t>
      </w:r>
    </w:p>
    <w:p w:rsidR="00D4725E" w:rsidRPr="00C27C5B" w:rsidRDefault="00D4725E" w:rsidP="00D4725E">
      <w:pPr>
        <w:tabs>
          <w:tab w:val="left" w:pos="8640"/>
        </w:tabs>
        <w:spacing w:line="240" w:lineRule="auto"/>
        <w:ind w:left="-360" w:right="-19"/>
        <w:rPr>
          <w:rFonts w:ascii="Arial" w:hAnsi="Arial"/>
          <w:lang w:val="en-US"/>
        </w:rPr>
      </w:pPr>
      <w:r w:rsidRPr="00C27C5B">
        <w:rPr>
          <w:rFonts w:ascii="Arial" w:hAnsi="Arial"/>
          <w:lang w:val="sr-Cyrl-RS"/>
        </w:rPr>
        <w:t>Место:Обреновац</w:t>
      </w:r>
    </w:p>
    <w:p w:rsidR="00D4725E" w:rsidRPr="0082480F" w:rsidRDefault="00D4725E" w:rsidP="00D4725E">
      <w:pPr>
        <w:tabs>
          <w:tab w:val="left" w:pos="8640"/>
        </w:tabs>
        <w:spacing w:line="240" w:lineRule="auto"/>
        <w:ind w:left="-360" w:right="-19"/>
        <w:rPr>
          <w:rFonts w:ascii="Arial" w:hAnsi="Arial"/>
          <w:lang w:val="sr-Cyrl-RS"/>
        </w:rPr>
      </w:pPr>
      <w:r w:rsidRPr="00C27C5B">
        <w:rPr>
          <w:rFonts w:ascii="Arial" w:hAnsi="Arial"/>
        </w:rPr>
        <w:t>Број:</w:t>
      </w:r>
      <w:r>
        <w:rPr>
          <w:rFonts w:ascii="Arial" w:hAnsi="Arial"/>
          <w:lang w:val="sr-Cyrl-RS"/>
        </w:rPr>
        <w:t xml:space="preserve"> </w:t>
      </w:r>
      <w:r w:rsidR="0082480F">
        <w:rPr>
          <w:rFonts w:ascii="Arial" w:hAnsi="Arial"/>
          <w:lang w:val="en-US"/>
        </w:rPr>
        <w:t>5364-E</w:t>
      </w:r>
      <w:r w:rsidR="0082480F">
        <w:rPr>
          <w:rFonts w:ascii="Arial" w:hAnsi="Arial"/>
          <w:lang w:val="sr-Cyrl-RS"/>
        </w:rPr>
        <w:t>.03.02.-342286/7-2017 од 18.10.2017.</w:t>
      </w:r>
    </w:p>
    <w:p w:rsidR="00D4725E" w:rsidRPr="00C27C5B" w:rsidRDefault="00D4725E" w:rsidP="00D4725E">
      <w:pPr>
        <w:tabs>
          <w:tab w:val="left" w:pos="8640"/>
        </w:tabs>
        <w:spacing w:line="240" w:lineRule="auto"/>
        <w:ind w:left="-360" w:right="-19"/>
        <w:rPr>
          <w:rFonts w:ascii="Arial" w:hAnsi="Arial"/>
          <w:i/>
          <w:lang w:val="sr-Cyrl-RS"/>
        </w:rPr>
      </w:pPr>
      <w:r w:rsidRPr="00C27C5B">
        <w:rPr>
          <w:rFonts w:ascii="Arial" w:hAnsi="Arial"/>
          <w:i/>
          <w:lang w:val="sr-Cyrl-RS"/>
        </w:rPr>
        <w:t xml:space="preserve">          </w:t>
      </w:r>
    </w:p>
    <w:p w:rsidR="00D4725E" w:rsidRPr="00C27C5B" w:rsidRDefault="00D4725E" w:rsidP="00D4725E">
      <w:pPr>
        <w:tabs>
          <w:tab w:val="left" w:pos="8640"/>
        </w:tabs>
        <w:spacing w:line="240" w:lineRule="auto"/>
        <w:ind w:left="-360" w:right="-19"/>
        <w:rPr>
          <w:rFonts w:ascii="Arial" w:hAnsi="Arial"/>
          <w:i/>
          <w:lang w:val="sr-Cyrl-RS"/>
        </w:rPr>
      </w:pPr>
    </w:p>
    <w:p w:rsidR="00D4725E" w:rsidRPr="00C27C5B" w:rsidRDefault="00D4725E" w:rsidP="00D4725E">
      <w:pPr>
        <w:pStyle w:val="BodyText"/>
        <w:spacing w:line="240" w:lineRule="auto"/>
        <w:rPr>
          <w:rFonts w:ascii="Arial" w:hAnsi="Arial"/>
          <w:iCs/>
          <w:lang w:val="en-US"/>
        </w:rPr>
      </w:pPr>
      <w:r w:rsidRPr="00C27C5B">
        <w:rPr>
          <w:rFonts w:ascii="Arial" w:hAnsi="Arial"/>
          <w:iCs/>
        </w:rPr>
        <w:t>На основу члана 54. и 63. Закона о јавним набавкама („Службeни глaсник РС", бр</w:t>
      </w:r>
      <w:r w:rsidRPr="00C27C5B">
        <w:rPr>
          <w:rFonts w:ascii="Arial" w:hAnsi="Arial"/>
          <w:iCs/>
          <w:lang w:val="sr-Cyrl-RS"/>
        </w:rPr>
        <w:t>.</w:t>
      </w:r>
      <w:r w:rsidRPr="00C27C5B">
        <w:rPr>
          <w:rFonts w:ascii="Arial" w:hAnsi="Arial"/>
          <w:iCs/>
        </w:rPr>
        <w:t xml:space="preserve"> 124/12</w:t>
      </w:r>
      <w:r w:rsidRPr="00C27C5B">
        <w:rPr>
          <w:rFonts w:ascii="Arial" w:hAnsi="Arial"/>
          <w:iCs/>
          <w:lang w:val="sr-Cyrl-RS"/>
        </w:rPr>
        <w:t>, 14/15 и</w:t>
      </w:r>
      <w:r w:rsidRPr="00C27C5B">
        <w:rPr>
          <w:rFonts w:ascii="Arial" w:hAnsi="Arial"/>
          <w:iCs/>
          <w:lang w:val="ru-RU"/>
        </w:rPr>
        <w:t xml:space="preserve"> </w:t>
      </w:r>
      <w:r w:rsidRPr="00C27C5B">
        <w:rPr>
          <w:rFonts w:ascii="Arial" w:hAnsi="Arial"/>
          <w:iCs/>
          <w:lang w:val="sr-Cyrl-RS"/>
        </w:rPr>
        <w:t>68</w:t>
      </w:r>
      <w:r w:rsidRPr="00C27C5B">
        <w:rPr>
          <w:rFonts w:ascii="Arial" w:hAnsi="Arial"/>
          <w:iCs/>
        </w:rPr>
        <w:t xml:space="preserve">/15), Комисија за јавну набавку број </w:t>
      </w:r>
      <w:r w:rsidRPr="00990AE1">
        <w:rPr>
          <w:rFonts w:ascii="Arial" w:hAnsi="Arial"/>
          <w:iCs/>
          <w:lang w:val="en-US"/>
        </w:rPr>
        <w:t>ЈН/3000/0649/2017(1058/2017)</w:t>
      </w:r>
      <w:r w:rsidRPr="00C27C5B">
        <w:rPr>
          <w:rFonts w:ascii="Arial" w:hAnsi="Arial"/>
          <w:lang w:val="ru-RU"/>
        </w:rPr>
        <w:t xml:space="preserve">, </w:t>
      </w:r>
      <w:r w:rsidRPr="00C27C5B">
        <w:rPr>
          <w:rFonts w:ascii="Arial" w:hAnsi="Arial"/>
        </w:rPr>
        <w:t>за набавку</w:t>
      </w:r>
      <w:r w:rsidRPr="00C27C5B">
        <w:rPr>
          <w:rFonts w:ascii="Arial" w:hAnsi="Arial"/>
          <w:lang w:val="sr-Cyrl-RS"/>
        </w:rPr>
        <w:t xml:space="preserve"> услуге:</w:t>
      </w:r>
      <w:r w:rsidRPr="00C27C5B">
        <w:rPr>
          <w:rFonts w:ascii="Arial" w:hAnsi="Arial"/>
        </w:rPr>
        <w:t xml:space="preserve"> </w:t>
      </w:r>
      <w:r w:rsidRPr="00990AE1">
        <w:rPr>
          <w:rFonts w:ascii="Arial" w:hAnsi="Arial"/>
          <w:lang w:val="sr-Cyrl-RS"/>
        </w:rPr>
        <w:t>Испитивање громобранске инсталације и контрола изједначења потенцијала на објектима угроженим експлозивном атмосфером(ТЕНТ Б)</w:t>
      </w:r>
      <w:r w:rsidRPr="00C27C5B">
        <w:rPr>
          <w:rFonts w:ascii="Arial" w:hAnsi="Arial"/>
        </w:rPr>
        <w:t xml:space="preserve">, </w:t>
      </w:r>
      <w:r w:rsidRPr="00C27C5B">
        <w:rPr>
          <w:rFonts w:ascii="Arial" w:hAnsi="Arial"/>
          <w:iCs/>
        </w:rPr>
        <w:t xml:space="preserve">на захтев заинтересованог лица, даје </w:t>
      </w:r>
    </w:p>
    <w:p w:rsidR="00D4725E" w:rsidRPr="00C27C5B" w:rsidRDefault="00D4725E" w:rsidP="00D4725E">
      <w:pPr>
        <w:pStyle w:val="BodyText"/>
        <w:spacing w:line="240" w:lineRule="auto"/>
        <w:rPr>
          <w:rFonts w:ascii="Arial" w:hAnsi="Arial"/>
          <w:iCs/>
          <w:lang w:val="en-US"/>
        </w:rPr>
      </w:pPr>
    </w:p>
    <w:p w:rsidR="00D4725E" w:rsidRPr="00C27C5B" w:rsidRDefault="00D4725E" w:rsidP="00D4725E">
      <w:pPr>
        <w:spacing w:line="240" w:lineRule="auto"/>
        <w:jc w:val="center"/>
        <w:rPr>
          <w:rFonts w:ascii="Arial" w:hAnsi="Arial"/>
          <w:b/>
          <w:iCs/>
        </w:rPr>
      </w:pPr>
      <w:r w:rsidRPr="00C27C5B">
        <w:rPr>
          <w:rFonts w:ascii="Arial" w:hAnsi="Arial"/>
          <w:b/>
          <w:iCs/>
        </w:rPr>
        <w:t>ДОДАТНЕ ИНФОРМАЦИЈЕ ИЛИ ПОЈАШЊЕЊА</w:t>
      </w:r>
    </w:p>
    <w:p w:rsidR="00D4725E" w:rsidRPr="00C27C5B" w:rsidRDefault="00D4725E" w:rsidP="00D4725E">
      <w:pPr>
        <w:spacing w:line="240" w:lineRule="auto"/>
        <w:jc w:val="center"/>
        <w:rPr>
          <w:rFonts w:ascii="Arial" w:hAnsi="Arial"/>
          <w:iCs/>
          <w:lang w:val="sr-Cyrl-RS"/>
        </w:rPr>
      </w:pPr>
      <w:r w:rsidRPr="00C27C5B">
        <w:rPr>
          <w:rFonts w:ascii="Arial" w:hAnsi="Arial"/>
          <w:iCs/>
        </w:rPr>
        <w:t>У ВЕЗИ СА ПРИПРЕМАЊЕМ ПОНУДЕ</w:t>
      </w:r>
    </w:p>
    <w:p w:rsidR="00D4725E" w:rsidRPr="00C27C5B" w:rsidRDefault="00D4725E" w:rsidP="00D4725E">
      <w:pPr>
        <w:spacing w:line="240" w:lineRule="auto"/>
        <w:jc w:val="center"/>
        <w:rPr>
          <w:rFonts w:ascii="Arial" w:hAnsi="Arial"/>
          <w:b/>
          <w:iCs/>
          <w:lang w:val="ru-RU"/>
        </w:rPr>
      </w:pPr>
      <w:r w:rsidRPr="00C27C5B">
        <w:rPr>
          <w:rFonts w:ascii="Arial" w:hAnsi="Arial"/>
          <w:b/>
          <w:iCs/>
        </w:rPr>
        <w:t xml:space="preserve">Бр. </w:t>
      </w:r>
      <w:r w:rsidRPr="00C27C5B">
        <w:rPr>
          <w:rFonts w:ascii="Arial" w:hAnsi="Arial"/>
          <w:b/>
          <w:iCs/>
          <w:lang w:val="en-US"/>
        </w:rPr>
        <w:t>1</w:t>
      </w:r>
      <w:r w:rsidRPr="00C27C5B">
        <w:rPr>
          <w:rFonts w:ascii="Arial" w:hAnsi="Arial"/>
          <w:b/>
          <w:iCs/>
        </w:rPr>
        <w:t>.</w:t>
      </w:r>
    </w:p>
    <w:p w:rsidR="00D4725E" w:rsidRPr="00C27C5B" w:rsidRDefault="00D4725E" w:rsidP="00D4725E">
      <w:pPr>
        <w:spacing w:before="240" w:after="240" w:line="240" w:lineRule="auto"/>
        <w:rPr>
          <w:rFonts w:ascii="Arial" w:hAnsi="Arial"/>
          <w:iCs/>
          <w:lang w:val="sr-Cyrl-RS"/>
        </w:rPr>
      </w:pPr>
      <w:r w:rsidRPr="00C27C5B">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Pr="00C27C5B">
        <w:rPr>
          <w:rFonts w:ascii="Arial" w:hAnsi="Arial"/>
          <w:iCs/>
          <w:lang w:val="sr-Cyrl-RS"/>
        </w:rPr>
        <w:t>,</w:t>
      </w:r>
      <w:r w:rsidRPr="00C27C5B">
        <w:rPr>
          <w:rFonts w:ascii="Arial" w:hAnsi="Arial"/>
          <w:iCs/>
        </w:rPr>
        <w:t xml:space="preserve"> а Наручилац објављује на Порталу јавних набавки и интернет страници </w:t>
      </w:r>
      <w:r w:rsidRPr="00C27C5B">
        <w:rPr>
          <w:rFonts w:ascii="Arial" w:hAnsi="Arial"/>
          <w:iCs/>
          <w:lang w:val="sr-Cyrl-RS"/>
        </w:rPr>
        <w:t>Н</w:t>
      </w:r>
      <w:r w:rsidRPr="00C27C5B">
        <w:rPr>
          <w:rFonts w:ascii="Arial" w:hAnsi="Arial"/>
          <w:iCs/>
        </w:rPr>
        <w:t>аручиоца</w:t>
      </w:r>
      <w:r w:rsidRPr="00C27C5B">
        <w:rPr>
          <w:rFonts w:ascii="Arial" w:hAnsi="Arial"/>
          <w:iCs/>
          <w:lang w:val="sr-Cyrl-RS"/>
        </w:rPr>
        <w:t>,</w:t>
      </w:r>
      <w:r w:rsidRPr="00C27C5B">
        <w:rPr>
          <w:rFonts w:ascii="Arial" w:hAnsi="Arial"/>
          <w:b/>
          <w:i/>
          <w:iCs/>
          <w:lang w:val="sr-Cyrl-RS"/>
        </w:rPr>
        <w:t xml:space="preserve">  </w:t>
      </w:r>
      <w:r w:rsidRPr="00C27C5B">
        <w:rPr>
          <w:rFonts w:ascii="Arial" w:hAnsi="Arial"/>
          <w:iCs/>
        </w:rPr>
        <w:t>следеће информације, односно појашњења:</w:t>
      </w:r>
    </w:p>
    <w:p w:rsidR="006142F5" w:rsidRDefault="006142F5" w:rsidP="006142F5">
      <w:pPr>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6142F5" w:rsidRDefault="00D4725E" w:rsidP="006142F5">
      <w:pPr>
        <w:rPr>
          <w:rFonts w:ascii="Arial" w:hAnsi="Arial"/>
          <w:iCs/>
          <w:lang w:val="ru-RU"/>
        </w:rPr>
      </w:pPr>
      <w:r w:rsidRPr="00D4725E">
        <w:rPr>
          <w:rFonts w:ascii="Arial" w:hAnsi="Arial"/>
          <w:iCs/>
          <w:lang w:val="sr-Cyrl-RS"/>
        </w:rPr>
        <w:t>У тачки 4.2. Додатни услови, наводи се да потенцијални понуђач мора да поседује уређај за испитивање „који не варничи“. Испитивање изједначења потенцијала, врши се мерењем галванске непрекидности на самим инсталацијама, односно металним деловима инсталације. То се врши тако што се кроз металне делове пропушта једносмерна струја одређене јачине и мери отпорност, уз већ познати референтни напон. Шта значи појам „уређај који не варничи“? Сама метода мерења, која је уједно и једина метода којом може да се испита изједначење потенцијала, не гарантује да приликом испитивања неће доћи до варничења на местима где је изједначење потенцијала између металних делова инсталације, односно галванска повезаност лоша, а то не зависи од инструмента већ од саме инсталације која се испитује. Циљ овог испитивања је управо да се открију места на којима је галванска повезаност лоша, а то унапред не може да се зна. Самим тим условом који сте навели ни на који начин не повећавате безбедност приликом испитивања јер она не зависи од инструмента већ од методе испитивања. Једини начин да се безбедно провери изједначење потенцијала је да се изврши проветравање просторија у којима се врши испитивање како би се обезбедило да концентрација експлозивних смеша буде ниска. То се врши мерењем концентрације експлозивних смеша и за то је потребан посебан инструмент. „Уређај који не варничи“ за ову врсту испитивања не постоји тако да је овај услов потпуно бесмислен. Потребно је или кориговати услов или га избацити.</w:t>
      </w:r>
    </w:p>
    <w:p w:rsidR="004E3EDE" w:rsidRDefault="004E3EDE" w:rsidP="006142F5">
      <w:pPr>
        <w:spacing w:after="240"/>
        <w:rPr>
          <w:rFonts w:ascii="Arial" w:hAnsi="Arial"/>
          <w:b/>
          <w:iCs/>
          <w:lang w:val="en-US"/>
        </w:rPr>
      </w:pPr>
    </w:p>
    <w:p w:rsidR="006142F5" w:rsidRDefault="006142F5" w:rsidP="006142F5">
      <w:pPr>
        <w:spacing w:after="240"/>
        <w:rPr>
          <w:rFonts w:ascii="Arial" w:hAnsi="Arial"/>
        </w:rPr>
      </w:pPr>
      <w:r>
        <w:rPr>
          <w:rFonts w:ascii="Arial" w:hAnsi="Arial"/>
          <w:b/>
          <w:iCs/>
        </w:rPr>
        <w:t xml:space="preserve">ОДГОВОР 1: </w:t>
      </w:r>
    </w:p>
    <w:p w:rsidR="00905FC9" w:rsidRPr="004E3EDE" w:rsidRDefault="00905FC9" w:rsidP="00905FC9">
      <w:pPr>
        <w:spacing w:after="240"/>
        <w:rPr>
          <w:rFonts w:ascii="Arial" w:hAnsi="Arial"/>
          <w:lang w:val="en-US"/>
        </w:rPr>
      </w:pPr>
      <w:r>
        <w:rPr>
          <w:rFonts w:ascii="Arial" w:hAnsi="Arial"/>
          <w:b/>
          <w:iCs/>
          <w:lang w:val="sr-Cyrl-RS"/>
        </w:rPr>
        <w:t xml:space="preserve">У складу са постављеним питањем </w:t>
      </w:r>
      <w:r>
        <w:rPr>
          <w:rFonts w:ascii="Arial" w:hAnsi="Arial"/>
          <w:iCs/>
          <w:lang w:val="sr-Cyrl-RS"/>
        </w:rPr>
        <w:t xml:space="preserve">Наручилац ће изменити Конкурсну документацију у делу </w:t>
      </w:r>
      <w:r w:rsidR="004E3EDE">
        <w:rPr>
          <w:rFonts w:ascii="Arial" w:hAnsi="Arial"/>
          <w:iCs/>
          <w:lang w:val="en-US"/>
        </w:rPr>
        <w:t>4</w:t>
      </w:r>
      <w:r>
        <w:rPr>
          <w:rFonts w:ascii="Arial" w:hAnsi="Arial"/>
          <w:iCs/>
          <w:lang w:val="sr-Cyrl-RS"/>
        </w:rPr>
        <w:t xml:space="preserve">. </w:t>
      </w:r>
      <w:r w:rsidR="004E3EDE" w:rsidRPr="004E3EDE">
        <w:rPr>
          <w:rFonts w:ascii="Arial" w:hAnsi="Arial"/>
          <w:iCs/>
          <w:lang w:val="sr-Cyrl-RS"/>
        </w:rPr>
        <w:t>УСЛОВИ ЗА УЧЕШЋЕ У ПОСТУПКУ ЈАВНЕ НАБАВКЕ ИЗ ЧЛ. 75. И 76. ЗАКОНА О ЈАВНИМ НАБАВКАМА И УПУТСТВО КАКО СЕ ДОКАЗУЈЕ ИСПУЊЕНОСТ ТИХ УСЛОВА</w:t>
      </w:r>
      <w:r w:rsidR="004E3EDE">
        <w:rPr>
          <w:rFonts w:ascii="Arial" w:hAnsi="Arial"/>
          <w:iCs/>
          <w:lang w:val="en-US"/>
        </w:rPr>
        <w:t>.</w:t>
      </w:r>
    </w:p>
    <w:p w:rsidR="004E3EDE" w:rsidRDefault="004E3EDE" w:rsidP="00905FC9">
      <w:pPr>
        <w:tabs>
          <w:tab w:val="left" w:pos="9180"/>
          <w:tab w:val="left" w:pos="9900"/>
        </w:tabs>
        <w:spacing w:before="240" w:line="240" w:lineRule="auto"/>
        <w:rPr>
          <w:rFonts w:ascii="Arial" w:hAnsi="Arial"/>
          <w:lang w:val="en-US"/>
        </w:rPr>
      </w:pPr>
    </w:p>
    <w:p w:rsidR="00905FC9" w:rsidRDefault="00905FC9" w:rsidP="00905FC9">
      <w:pPr>
        <w:tabs>
          <w:tab w:val="left" w:pos="9180"/>
          <w:tab w:val="left" w:pos="9900"/>
        </w:tabs>
        <w:spacing w:before="240" w:line="240" w:lineRule="auto"/>
        <w:rPr>
          <w:rFonts w:ascii="Arial" w:hAnsi="Arial"/>
          <w:iCs/>
          <w:lang w:val="sr-Cyrl-RS"/>
        </w:rPr>
      </w:pPr>
      <w:r>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Pr>
          <w:rFonts w:ascii="Arial" w:hAnsi="Arial"/>
          <w:iCs/>
        </w:rPr>
        <w:t xml:space="preserve">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rPr>
        <w:tab/>
      </w:r>
    </w:p>
    <w:p w:rsidR="00560716" w:rsidRDefault="00560716" w:rsidP="00057790">
      <w:bookmarkStart w:id="0" w:name="_GoBack"/>
      <w:bookmarkEnd w:id="0"/>
    </w:p>
    <w:sectPr w:rsidR="005607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14" w:rsidRDefault="00484B14" w:rsidP="00FD1266">
      <w:pPr>
        <w:spacing w:line="240" w:lineRule="auto"/>
      </w:pPr>
      <w:r>
        <w:separator/>
      </w:r>
    </w:p>
  </w:endnote>
  <w:endnote w:type="continuationSeparator" w:id="0">
    <w:p w:rsidR="00484B14" w:rsidRDefault="00484B14" w:rsidP="00FD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14" w:rsidRDefault="00484B14" w:rsidP="00FD1266">
      <w:pPr>
        <w:spacing w:line="240" w:lineRule="auto"/>
      </w:pPr>
      <w:r>
        <w:separator/>
      </w:r>
    </w:p>
  </w:footnote>
  <w:footnote w:type="continuationSeparator" w:id="0">
    <w:p w:rsidR="00484B14" w:rsidRDefault="00484B14" w:rsidP="00FD1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FD1266" w:rsidTr="00FD1266">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FD1266" w:rsidRDefault="00FD1266">
          <w:pPr>
            <w:spacing w:before="30"/>
            <w:jc w:val="center"/>
            <w:rPr>
              <w:b/>
              <w:sz w:val="16"/>
              <w:szCs w:val="16"/>
              <w:lang w:val="sl-SI"/>
            </w:rPr>
          </w:pPr>
          <w:r>
            <w:rPr>
              <w:noProof/>
              <w:lang w:val="en-US"/>
            </w:rPr>
            <w:drawing>
              <wp:inline distT="0" distB="0" distL="0" distR="0" wp14:anchorId="0E315DA5" wp14:editId="16E24DF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sdt>
          <w:sdtPr>
            <w:rPr>
              <w:rFonts w:ascii="Arial" w:hAnsi="Arial"/>
              <w:b/>
              <w:sz w:val="24"/>
              <w:szCs w:val="24"/>
              <w:lang w:val="sr-Latn-RS"/>
            </w:rPr>
            <w:alias w:val="Title"/>
            <w:id w:val="-1583907690"/>
            <w:placeholder>
              <w:docPart w:val="123067E354314C63B9715C8B31BDE901"/>
            </w:placeholder>
            <w:dataBinding w:prefixMappings="xmlns:ns0='http://purl.org/dc/elements/1.1/' xmlns:ns1='http://schemas.openxmlformats.org/package/2006/metadata/core-properties' " w:xpath="/ns1:coreProperties[1]/ns0:title[1]" w:storeItemID="{6C3C8BC8-F283-45AE-878A-BAB7291924A1}"/>
            <w:text/>
          </w:sdtPr>
          <w:sdtEndPr/>
          <w:sdtContent>
            <w:p w:rsidR="00FD1266" w:rsidRDefault="006142F5">
              <w:pPr>
                <w:jc w:val="center"/>
                <w:rPr>
                  <w:b/>
                  <w:sz w:val="24"/>
                  <w:szCs w:val="24"/>
                  <w:lang w:val="sr-Latn-RS"/>
                </w:rPr>
              </w:pPr>
              <w:r w:rsidRPr="003C5CFC">
                <w:rPr>
                  <w:rFonts w:ascii="Arial" w:hAnsi="Arial"/>
                  <w:b/>
                  <w:sz w:val="24"/>
                  <w:szCs w:val="24"/>
                  <w:lang w:val="sr-Latn-RS"/>
                </w:rPr>
                <w:t>Додатне информације и појашњења</w:t>
              </w:r>
            </w:p>
          </w:sdtContent>
        </w:sdt>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FD1266" w:rsidRDefault="00FD1266">
          <w:pPr>
            <w:jc w:val="center"/>
            <w:rPr>
              <w:b/>
            </w:rPr>
          </w:pPr>
          <w:r>
            <w:rPr>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sdt>
          <w:sdtPr>
            <w:rPr>
              <w:b/>
            </w:rPr>
            <w:alias w:val="Šifra formulara"/>
            <w:tag w:val="_x0160_ifra_x0020_formulara"/>
            <w:id w:val="-181674567"/>
            <w:placeholder>
              <w:docPart w:val="407F2C87786240F78FF639DEE24AB35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D1266" w:rsidRDefault="00FD1266">
              <w:pPr>
                <w:jc w:val="center"/>
                <w:rPr>
                  <w:b/>
                  <w:lang w:val="sr-Latn-RS"/>
                </w:rPr>
              </w:pPr>
              <w:r>
                <w:rPr>
                  <w:b/>
                </w:rPr>
                <w:t>QF-G-029</w:t>
              </w:r>
            </w:p>
          </w:sdtContent>
        </w:sdt>
      </w:tc>
    </w:tr>
    <w:tr w:rsidR="00FD1266" w:rsidTr="00FD1266">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FD1266" w:rsidRDefault="00FD1266">
          <w:pPr>
            <w:spacing w:line="240" w:lineRule="auto"/>
            <w:jc w:val="left"/>
            <w:rPr>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FD1266" w:rsidRDefault="00FD1266">
          <w:pPr>
            <w:spacing w:line="240" w:lineRule="auto"/>
            <w:jc w:val="left"/>
            <w:rPr>
              <w:b/>
              <w:sz w:val="24"/>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FD1266" w:rsidRDefault="00FD1266">
          <w:pPr>
            <w:jc w:val="center"/>
            <w:rPr>
              <w:b/>
              <w:lang w:val="sl-SI"/>
            </w:rPr>
          </w:pPr>
          <w:r>
            <w:rPr>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FD1266" w:rsidRDefault="00FD1266">
          <w:pPr>
            <w:jc w:val="center"/>
            <w:rPr>
              <w:b/>
            </w:rPr>
          </w:pPr>
          <w:r>
            <w:rPr>
              <w:b/>
            </w:rPr>
            <w:fldChar w:fldCharType="begin"/>
          </w:r>
          <w:r>
            <w:rPr>
              <w:b/>
            </w:rPr>
            <w:instrText xml:space="preserve"> PAGE </w:instrText>
          </w:r>
          <w:r>
            <w:rPr>
              <w:b/>
            </w:rPr>
            <w:fldChar w:fldCharType="separate"/>
          </w:r>
          <w:r w:rsidR="0082480F">
            <w:rPr>
              <w:b/>
              <w:noProof/>
            </w:rPr>
            <w:t>2</w:t>
          </w:r>
          <w:r>
            <w:rPr>
              <w:b/>
            </w:rPr>
            <w:fldChar w:fldCharType="end"/>
          </w:r>
          <w:r>
            <w:rPr>
              <w:b/>
            </w:rPr>
            <w:t>/</w:t>
          </w:r>
          <w:r>
            <w:rPr>
              <w:b/>
            </w:rPr>
            <w:fldChar w:fldCharType="begin"/>
          </w:r>
          <w:r>
            <w:rPr>
              <w:b/>
            </w:rPr>
            <w:instrText xml:space="preserve"> NUMPAGES </w:instrText>
          </w:r>
          <w:r>
            <w:rPr>
              <w:b/>
            </w:rPr>
            <w:fldChar w:fldCharType="separate"/>
          </w:r>
          <w:r w:rsidR="0082480F">
            <w:rPr>
              <w:b/>
              <w:noProof/>
            </w:rPr>
            <w:t>2</w:t>
          </w:r>
          <w:r>
            <w:rPr>
              <w:b/>
            </w:rPr>
            <w:fldChar w:fldCharType="end"/>
          </w:r>
        </w:p>
      </w:tc>
    </w:tr>
  </w:tbl>
  <w:p w:rsidR="00FD1266" w:rsidRDefault="00FD1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8"/>
    <w:rsid w:val="00057790"/>
    <w:rsid w:val="00123A11"/>
    <w:rsid w:val="00366C75"/>
    <w:rsid w:val="00376C15"/>
    <w:rsid w:val="004661E3"/>
    <w:rsid w:val="00484B14"/>
    <w:rsid w:val="004E3EDE"/>
    <w:rsid w:val="00560716"/>
    <w:rsid w:val="006142F5"/>
    <w:rsid w:val="007341E8"/>
    <w:rsid w:val="0082480F"/>
    <w:rsid w:val="00905FC9"/>
    <w:rsid w:val="00951FC8"/>
    <w:rsid w:val="00AC36A6"/>
    <w:rsid w:val="00AC7982"/>
    <w:rsid w:val="00AD46F3"/>
    <w:rsid w:val="00B22ECD"/>
    <w:rsid w:val="00B64B75"/>
    <w:rsid w:val="00B768B7"/>
    <w:rsid w:val="00D4725E"/>
    <w:rsid w:val="00E8719D"/>
    <w:rsid w:val="00EF1891"/>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860">
      <w:bodyDiv w:val="1"/>
      <w:marLeft w:val="0"/>
      <w:marRight w:val="0"/>
      <w:marTop w:val="0"/>
      <w:marBottom w:val="0"/>
      <w:divBdr>
        <w:top w:val="none" w:sz="0" w:space="0" w:color="auto"/>
        <w:left w:val="none" w:sz="0" w:space="0" w:color="auto"/>
        <w:bottom w:val="none" w:sz="0" w:space="0" w:color="auto"/>
        <w:right w:val="none" w:sz="0" w:space="0" w:color="auto"/>
      </w:divBdr>
    </w:div>
    <w:div w:id="716977777">
      <w:bodyDiv w:val="1"/>
      <w:marLeft w:val="0"/>
      <w:marRight w:val="0"/>
      <w:marTop w:val="0"/>
      <w:marBottom w:val="0"/>
      <w:divBdr>
        <w:top w:val="none" w:sz="0" w:space="0" w:color="auto"/>
        <w:left w:val="none" w:sz="0" w:space="0" w:color="auto"/>
        <w:bottom w:val="none" w:sz="0" w:space="0" w:color="auto"/>
        <w:right w:val="none" w:sz="0" w:space="0" w:color="auto"/>
      </w:divBdr>
    </w:div>
    <w:div w:id="753942849">
      <w:bodyDiv w:val="1"/>
      <w:marLeft w:val="0"/>
      <w:marRight w:val="0"/>
      <w:marTop w:val="0"/>
      <w:marBottom w:val="0"/>
      <w:divBdr>
        <w:top w:val="none" w:sz="0" w:space="0" w:color="auto"/>
        <w:left w:val="none" w:sz="0" w:space="0" w:color="auto"/>
        <w:bottom w:val="none" w:sz="0" w:space="0" w:color="auto"/>
        <w:right w:val="none" w:sz="0" w:space="0" w:color="auto"/>
      </w:divBdr>
    </w:div>
    <w:div w:id="1181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067E354314C63B9715C8B31BDE901"/>
        <w:category>
          <w:name w:val="General"/>
          <w:gallery w:val="placeholder"/>
        </w:category>
        <w:types>
          <w:type w:val="bbPlcHdr"/>
        </w:types>
        <w:behaviors>
          <w:behavior w:val="content"/>
        </w:behaviors>
        <w:guid w:val="{479711FB-2248-4EEF-B5E9-730161CDAFCD}"/>
      </w:docPartPr>
      <w:docPartBody>
        <w:p w:rsidR="000147FC" w:rsidRDefault="00A359AF" w:rsidP="00A359AF">
          <w:pPr>
            <w:pStyle w:val="123067E354314C63B9715C8B31BDE901"/>
          </w:pPr>
          <w:r>
            <w:rPr>
              <w:rStyle w:val="PlaceholderText"/>
            </w:rPr>
            <w:t>[Title]</w:t>
          </w:r>
        </w:p>
      </w:docPartBody>
    </w:docPart>
    <w:docPart>
      <w:docPartPr>
        <w:name w:val="407F2C87786240F78FF639DEE24AB358"/>
        <w:category>
          <w:name w:val="General"/>
          <w:gallery w:val="placeholder"/>
        </w:category>
        <w:types>
          <w:type w:val="bbPlcHdr"/>
        </w:types>
        <w:behaviors>
          <w:behavior w:val="content"/>
        </w:behaviors>
        <w:guid w:val="{DD737E44-7B2A-44B7-ACBD-5AB1F84F4F11}"/>
      </w:docPartPr>
      <w:docPartBody>
        <w:p w:rsidR="000147FC" w:rsidRDefault="00A359AF" w:rsidP="00A359AF">
          <w:pPr>
            <w:pStyle w:val="407F2C87786240F78FF639DEE24AB358"/>
          </w:pPr>
          <w:r>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F"/>
    <w:rsid w:val="00005CB4"/>
    <w:rsid w:val="000147FC"/>
    <w:rsid w:val="000A57C2"/>
    <w:rsid w:val="000D098D"/>
    <w:rsid w:val="001F0D14"/>
    <w:rsid w:val="00273AC7"/>
    <w:rsid w:val="00916764"/>
    <w:rsid w:val="009F4FF4"/>
    <w:rsid w:val="00A359AF"/>
    <w:rsid w:val="00D2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subject/>
  <dc:creator>Marija Milačić</dc:creator>
  <cp:keywords/>
  <dc:description/>
  <cp:lastModifiedBy>Marija Milačić</cp:lastModifiedBy>
  <cp:revision>13</cp:revision>
  <cp:lastPrinted>2017-10-18T06:50:00Z</cp:lastPrinted>
  <dcterms:created xsi:type="dcterms:W3CDTF">2016-08-09T06:57:00Z</dcterms:created>
  <dcterms:modified xsi:type="dcterms:W3CDTF">2017-10-18T12:08:00Z</dcterms:modified>
</cp:coreProperties>
</file>