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2A7E57" w:rsidRDefault="000F0A61" w:rsidP="00131177">
      <w:pPr>
        <w:spacing w:line="240" w:lineRule="auto"/>
        <w:rPr>
          <w:rFonts w:ascii="Arial" w:hAnsi="Arial"/>
          <w:i/>
          <w:color w:val="4F81BD" w:themeColor="accent1"/>
          <w:lang w:val="en-US"/>
        </w:rPr>
      </w:pPr>
      <w:r w:rsidRPr="002A7E57">
        <w:rPr>
          <w:rFonts w:ascii="Arial" w:hAnsi="Arial"/>
          <w:i/>
          <w:color w:val="4F81BD" w:themeColor="accent1"/>
          <w:lang w:val="sr-Cyrl-RS"/>
        </w:rPr>
        <w:t xml:space="preserve">                                                      </w:t>
      </w:r>
    </w:p>
    <w:p w:rsidR="0046231D" w:rsidRPr="002A7E57" w:rsidRDefault="0046231D" w:rsidP="0046231D">
      <w:pPr>
        <w:tabs>
          <w:tab w:val="left" w:pos="8640"/>
        </w:tabs>
        <w:spacing w:line="240" w:lineRule="auto"/>
        <w:ind w:left="-360" w:right="-19"/>
        <w:rPr>
          <w:rFonts w:ascii="Arial" w:hAnsi="Arial"/>
        </w:rPr>
      </w:pPr>
      <w:r w:rsidRPr="002A7E57">
        <w:rPr>
          <w:rFonts w:ascii="Arial" w:hAnsi="Arial"/>
          <w:lang w:val="ru-RU"/>
        </w:rPr>
        <w:t>ЈАВНО ПРЕДУЗЕЋЕ „ЕЛЕКТРОПРИВРЕДА СРБИЈЕ</w:t>
      </w:r>
      <w:r w:rsidRPr="002A7E57">
        <w:rPr>
          <w:rFonts w:ascii="Arial" w:hAnsi="Arial"/>
        </w:rPr>
        <w:t>“ БЕОГРАД</w:t>
      </w:r>
    </w:p>
    <w:p w:rsidR="0046231D" w:rsidRPr="002A7E57" w:rsidRDefault="0046231D" w:rsidP="0046231D">
      <w:pPr>
        <w:tabs>
          <w:tab w:val="left" w:pos="8640"/>
        </w:tabs>
        <w:spacing w:line="240" w:lineRule="auto"/>
        <w:ind w:left="-360" w:right="-19"/>
        <w:rPr>
          <w:rFonts w:ascii="Arial" w:hAnsi="Arial"/>
          <w:lang w:val="ru-RU"/>
        </w:rPr>
      </w:pPr>
      <w:r w:rsidRPr="002A7E57">
        <w:rPr>
          <w:rFonts w:ascii="Arial" w:hAnsi="Arial"/>
          <w:lang w:val="ru-RU"/>
        </w:rPr>
        <w:t xml:space="preserve">ЕЛЕКТРОПРИВРЕДА СРБИЈЕ </w:t>
      </w:r>
      <w:r w:rsidRPr="002A7E57">
        <w:rPr>
          <w:rFonts w:ascii="Arial" w:hAnsi="Arial"/>
          <w:lang w:val="sr-Cyrl-RS"/>
        </w:rPr>
        <w:t xml:space="preserve">ЈП </w:t>
      </w:r>
      <w:r w:rsidRPr="002A7E57">
        <w:rPr>
          <w:rFonts w:ascii="Arial" w:hAnsi="Arial"/>
        </w:rPr>
        <w:t xml:space="preserve"> БЕОГРАД-ОГРАНАК ТЕНТ</w:t>
      </w:r>
    </w:p>
    <w:p w:rsidR="0046231D" w:rsidRPr="002A7E57" w:rsidRDefault="0046231D" w:rsidP="0046231D">
      <w:pPr>
        <w:spacing w:line="240" w:lineRule="auto"/>
        <w:ind w:left="-360"/>
        <w:jc w:val="left"/>
        <w:rPr>
          <w:rFonts w:ascii="Arial" w:hAnsi="Arial"/>
          <w:lang w:val="en-US"/>
        </w:rPr>
      </w:pPr>
      <w:r w:rsidRPr="002A7E57">
        <w:rPr>
          <w:rFonts w:ascii="Arial" w:hAnsi="Arial"/>
        </w:rPr>
        <w:t>Улица</w:t>
      </w:r>
      <w:r w:rsidRPr="002A7E57">
        <w:rPr>
          <w:rFonts w:ascii="Arial" w:hAnsi="Arial"/>
          <w:lang w:val="sr-Cyrl-RS"/>
        </w:rPr>
        <w:t>:</w:t>
      </w:r>
      <w:r w:rsidRPr="002A7E57">
        <w:rPr>
          <w:rFonts w:ascii="Arial" w:hAnsi="Arial"/>
        </w:rPr>
        <w:t xml:space="preserve"> Богољуба Урошевића- Црног  број 44.</w:t>
      </w:r>
    </w:p>
    <w:p w:rsidR="0046231D" w:rsidRPr="002A7E57" w:rsidRDefault="0046231D" w:rsidP="0046231D">
      <w:pPr>
        <w:tabs>
          <w:tab w:val="left" w:pos="8640"/>
        </w:tabs>
        <w:spacing w:line="240" w:lineRule="auto"/>
        <w:ind w:left="-360" w:right="-19"/>
        <w:rPr>
          <w:rFonts w:ascii="Arial" w:hAnsi="Arial"/>
          <w:lang w:val="en-US"/>
        </w:rPr>
      </w:pPr>
      <w:r w:rsidRPr="002A7E57">
        <w:rPr>
          <w:rFonts w:ascii="Arial" w:hAnsi="Arial"/>
          <w:lang w:val="sr-Cyrl-RS"/>
        </w:rPr>
        <w:t>Место:Обреновац</w:t>
      </w:r>
    </w:p>
    <w:p w:rsidR="00833F9A" w:rsidRPr="002A7E57" w:rsidRDefault="0046231D" w:rsidP="0046231D">
      <w:pPr>
        <w:tabs>
          <w:tab w:val="left" w:pos="8640"/>
        </w:tabs>
        <w:spacing w:line="240" w:lineRule="auto"/>
        <w:ind w:left="-360" w:right="-19"/>
        <w:rPr>
          <w:rFonts w:ascii="Arial" w:hAnsi="Arial"/>
          <w:lang w:val="en-US"/>
        </w:rPr>
      </w:pPr>
      <w:r w:rsidRPr="002A7E57">
        <w:rPr>
          <w:rFonts w:ascii="Arial" w:hAnsi="Arial"/>
        </w:rPr>
        <w:t>Број:</w:t>
      </w:r>
      <w:r w:rsidR="00A02CAA" w:rsidRPr="002A7E57">
        <w:rPr>
          <w:rFonts w:ascii="Arial" w:hAnsi="Arial"/>
        </w:rPr>
        <w:t xml:space="preserve"> </w:t>
      </w:r>
      <w:r w:rsidR="00833F9A" w:rsidRPr="002A7E57">
        <w:rPr>
          <w:rFonts w:ascii="Arial" w:hAnsi="Arial"/>
        </w:rPr>
        <w:t>5365-E.</w:t>
      </w:r>
      <w:r w:rsidR="00833F9A" w:rsidRPr="002A7E57">
        <w:rPr>
          <w:rFonts w:ascii="Arial" w:hAnsi="Arial"/>
          <w:lang w:val="ru-RU"/>
        </w:rPr>
        <w:t>03.04.477484</w:t>
      </w:r>
      <w:r w:rsidR="00833F9A" w:rsidRPr="002A7E57">
        <w:rPr>
          <w:rFonts w:ascii="Arial" w:hAnsi="Arial"/>
        </w:rPr>
        <w:t>/</w:t>
      </w:r>
      <w:r w:rsidR="005C21B7">
        <w:rPr>
          <w:rFonts w:ascii="Arial" w:hAnsi="Arial"/>
          <w:lang w:val="en-US"/>
        </w:rPr>
        <w:t>9</w:t>
      </w:r>
      <w:bookmarkStart w:id="0" w:name="_GoBack"/>
      <w:bookmarkEnd w:id="0"/>
      <w:r w:rsidR="00833F9A" w:rsidRPr="002A7E57">
        <w:rPr>
          <w:rFonts w:ascii="Arial" w:hAnsi="Arial"/>
          <w:lang w:val="ru-RU"/>
        </w:rPr>
        <w:t>-</w:t>
      </w:r>
      <w:r w:rsidR="00833F9A" w:rsidRPr="002A7E57">
        <w:rPr>
          <w:rFonts w:ascii="Arial" w:hAnsi="Arial"/>
        </w:rPr>
        <w:t>201</w:t>
      </w:r>
      <w:r w:rsidR="00833F9A" w:rsidRPr="002A7E57">
        <w:rPr>
          <w:rFonts w:ascii="Arial" w:hAnsi="Arial"/>
          <w:lang w:val="sr-Cyrl-RS"/>
        </w:rPr>
        <w:t>7</w:t>
      </w:r>
      <w:r w:rsidR="00833F9A" w:rsidRPr="002A7E57">
        <w:rPr>
          <w:rFonts w:ascii="Arial" w:hAnsi="Arial"/>
        </w:rPr>
        <w:t xml:space="preserve"> </w:t>
      </w:r>
      <w:r w:rsidR="00326B1D" w:rsidRPr="002A7E57">
        <w:rPr>
          <w:rFonts w:ascii="Arial" w:hAnsi="Arial"/>
          <w:lang w:val="sr-Cyrl-RS"/>
        </w:rPr>
        <w:t xml:space="preserve"> </w:t>
      </w:r>
    </w:p>
    <w:p w:rsidR="0046231D" w:rsidRPr="002A7E57" w:rsidRDefault="00A02CAA" w:rsidP="0046231D">
      <w:pPr>
        <w:tabs>
          <w:tab w:val="left" w:pos="8640"/>
        </w:tabs>
        <w:spacing w:line="240" w:lineRule="auto"/>
        <w:ind w:left="-360" w:right="-19"/>
        <w:rPr>
          <w:rFonts w:ascii="Arial" w:hAnsi="Arial"/>
          <w:i/>
          <w:lang w:val="sr-Cyrl-RS"/>
        </w:rPr>
      </w:pPr>
      <w:r w:rsidRPr="002A7E57">
        <w:rPr>
          <w:rFonts w:ascii="Arial" w:hAnsi="Arial"/>
          <w:lang w:val="sr-Cyrl-RS"/>
        </w:rPr>
        <w:t xml:space="preserve">Велики Црљени, </w:t>
      </w:r>
      <w:r w:rsidR="00833F9A" w:rsidRPr="002A7E57">
        <w:rPr>
          <w:rFonts w:ascii="Arial" w:hAnsi="Arial"/>
          <w:lang w:val="en-US"/>
        </w:rPr>
        <w:t>2</w:t>
      </w:r>
      <w:r w:rsidR="00FB0D03">
        <w:rPr>
          <w:rFonts w:ascii="Arial" w:hAnsi="Arial"/>
          <w:lang w:val="sr-Cyrl-RS"/>
        </w:rPr>
        <w:t>8</w:t>
      </w:r>
      <w:r w:rsidRPr="002A7E57">
        <w:rPr>
          <w:rFonts w:ascii="Arial" w:hAnsi="Arial"/>
          <w:lang w:val="sr-Cyrl-RS"/>
        </w:rPr>
        <w:t>.</w:t>
      </w:r>
      <w:r w:rsidR="00326B1D" w:rsidRPr="002A7E57">
        <w:rPr>
          <w:rFonts w:ascii="Arial" w:hAnsi="Arial"/>
          <w:lang w:val="en-US"/>
        </w:rPr>
        <w:t>1</w:t>
      </w:r>
      <w:r w:rsidR="00833F9A" w:rsidRPr="002A7E57">
        <w:rPr>
          <w:rFonts w:ascii="Arial" w:hAnsi="Arial"/>
          <w:lang w:val="en-US"/>
        </w:rPr>
        <w:t>2</w:t>
      </w:r>
      <w:r w:rsidRPr="002A7E57">
        <w:rPr>
          <w:rFonts w:ascii="Arial" w:hAnsi="Arial"/>
          <w:lang w:val="sr-Cyrl-RS"/>
        </w:rPr>
        <w:t>.201</w:t>
      </w:r>
      <w:r w:rsidR="00326B1D" w:rsidRPr="002A7E57">
        <w:rPr>
          <w:rFonts w:ascii="Arial" w:hAnsi="Arial"/>
          <w:lang w:val="en-US"/>
        </w:rPr>
        <w:t>7</w:t>
      </w:r>
      <w:r w:rsidRPr="002A7E57">
        <w:rPr>
          <w:rFonts w:ascii="Arial" w:hAnsi="Arial"/>
          <w:lang w:val="sr-Cyrl-RS"/>
        </w:rPr>
        <w:t>.</w:t>
      </w:r>
    </w:p>
    <w:p w:rsidR="00FC01E0" w:rsidRPr="002A7E57" w:rsidRDefault="00FC01E0" w:rsidP="008B7577">
      <w:pPr>
        <w:tabs>
          <w:tab w:val="left" w:pos="8640"/>
        </w:tabs>
        <w:spacing w:line="240" w:lineRule="auto"/>
        <w:ind w:right="-19"/>
        <w:rPr>
          <w:rFonts w:ascii="Arial" w:hAnsi="Arial"/>
          <w:i/>
          <w:lang w:val="sr-Cyrl-RS"/>
        </w:rPr>
      </w:pPr>
    </w:p>
    <w:p w:rsidR="00823373" w:rsidRPr="002A7E57" w:rsidRDefault="00823373" w:rsidP="003317EC">
      <w:pPr>
        <w:pStyle w:val="BodyText"/>
        <w:rPr>
          <w:rFonts w:ascii="Arial" w:hAnsi="Arial"/>
          <w:iCs/>
          <w:lang w:val="sr-Latn-RS"/>
        </w:rPr>
      </w:pPr>
      <w:r w:rsidRPr="002A7E57">
        <w:rPr>
          <w:rFonts w:ascii="Arial" w:hAnsi="Arial"/>
          <w:iCs/>
        </w:rPr>
        <w:t>На основу члана 54. и 63. Закона о јавним набавк</w:t>
      </w:r>
      <w:r w:rsidR="008C28EE" w:rsidRPr="002A7E57">
        <w:rPr>
          <w:rFonts w:ascii="Arial" w:hAnsi="Arial"/>
          <w:iCs/>
        </w:rPr>
        <w:t>ама („Службeни глaсник РС", бр</w:t>
      </w:r>
      <w:r w:rsidR="008C28EE" w:rsidRPr="002A7E57">
        <w:rPr>
          <w:rFonts w:ascii="Arial" w:hAnsi="Arial"/>
          <w:iCs/>
          <w:lang w:val="sr-Cyrl-RS"/>
        </w:rPr>
        <w:t>.</w:t>
      </w:r>
      <w:r w:rsidRPr="002A7E57">
        <w:rPr>
          <w:rFonts w:ascii="Arial" w:hAnsi="Arial"/>
          <w:iCs/>
        </w:rPr>
        <w:t xml:space="preserve"> 124/12</w:t>
      </w:r>
      <w:r w:rsidR="008C28EE" w:rsidRPr="002A7E57">
        <w:rPr>
          <w:rFonts w:ascii="Arial" w:hAnsi="Arial"/>
          <w:iCs/>
          <w:lang w:val="ru-RU"/>
        </w:rPr>
        <w:t>,</w:t>
      </w:r>
      <w:r w:rsidR="00C04B2D" w:rsidRPr="002A7E57">
        <w:rPr>
          <w:rFonts w:ascii="Arial" w:hAnsi="Arial"/>
          <w:iCs/>
          <w:lang w:val="ru-RU"/>
        </w:rPr>
        <w:t xml:space="preserve"> </w:t>
      </w:r>
      <w:r w:rsidRPr="002A7E57">
        <w:rPr>
          <w:rFonts w:ascii="Arial" w:hAnsi="Arial"/>
          <w:iCs/>
        </w:rPr>
        <w:t>14/15</w:t>
      </w:r>
      <w:r w:rsidR="00C04B2D" w:rsidRPr="002A7E57">
        <w:rPr>
          <w:rFonts w:ascii="Arial" w:hAnsi="Arial"/>
          <w:iCs/>
          <w:lang w:val="sr-Cyrl-RS"/>
        </w:rPr>
        <w:t xml:space="preserve"> </w:t>
      </w:r>
      <w:r w:rsidR="008C28EE" w:rsidRPr="002A7E57">
        <w:rPr>
          <w:rFonts w:ascii="Arial" w:hAnsi="Arial"/>
          <w:iCs/>
          <w:lang w:val="sr-Cyrl-RS"/>
        </w:rPr>
        <w:t>и 68/15</w:t>
      </w:r>
      <w:r w:rsidRPr="002A7E57">
        <w:rPr>
          <w:rFonts w:ascii="Arial" w:hAnsi="Arial"/>
          <w:iCs/>
        </w:rPr>
        <w:t xml:space="preserve">), Комисија за јавну набавку број </w:t>
      </w:r>
      <w:r w:rsidR="008E65CF" w:rsidRPr="002A7E57">
        <w:rPr>
          <w:rFonts w:ascii="Arial" w:hAnsi="Arial"/>
          <w:b/>
        </w:rPr>
        <w:t>1</w:t>
      </w:r>
      <w:r w:rsidR="008E65CF" w:rsidRPr="002A7E57">
        <w:rPr>
          <w:rFonts w:ascii="Arial" w:hAnsi="Arial"/>
          <w:b/>
          <w:lang w:val="sr-Cyrl-RS"/>
        </w:rPr>
        <w:t>709</w:t>
      </w:r>
      <w:r w:rsidR="008E65CF" w:rsidRPr="002A7E57">
        <w:rPr>
          <w:rFonts w:ascii="Arial" w:hAnsi="Arial"/>
          <w:b/>
        </w:rPr>
        <w:t>/2017-3000/1</w:t>
      </w:r>
      <w:r w:rsidR="008E65CF" w:rsidRPr="002A7E57">
        <w:rPr>
          <w:rFonts w:ascii="Arial" w:hAnsi="Arial"/>
          <w:b/>
          <w:lang w:val="sr-Cyrl-RS"/>
        </w:rPr>
        <w:t>066</w:t>
      </w:r>
      <w:r w:rsidR="000E6652" w:rsidRPr="002A7E57">
        <w:rPr>
          <w:rFonts w:ascii="Arial" w:hAnsi="Arial"/>
          <w:b/>
        </w:rPr>
        <w:t>/201</w:t>
      </w:r>
      <w:r w:rsidR="000E6652" w:rsidRPr="002A7E57">
        <w:rPr>
          <w:rFonts w:ascii="Arial" w:hAnsi="Arial"/>
          <w:b/>
          <w:lang w:val="sr-Cyrl-RS"/>
        </w:rPr>
        <w:t>7</w:t>
      </w:r>
      <w:r w:rsidR="008E65CF" w:rsidRPr="002A7E57">
        <w:rPr>
          <w:rFonts w:ascii="Arial" w:hAnsi="Arial"/>
          <w:b/>
          <w:lang w:val="en-US"/>
        </w:rPr>
        <w:t xml:space="preserve"> </w:t>
      </w:r>
      <w:r w:rsidRPr="002A7E57">
        <w:rPr>
          <w:rFonts w:ascii="Arial" w:hAnsi="Arial"/>
        </w:rPr>
        <w:t xml:space="preserve">за набавку </w:t>
      </w:r>
      <w:r w:rsidR="008E65CF" w:rsidRPr="002A7E57">
        <w:rPr>
          <w:rFonts w:ascii="Arial" w:hAnsi="Arial"/>
          <w:b/>
          <w:lang w:val="sr-Cyrl-RS"/>
        </w:rPr>
        <w:t>радова Термоизолација К3-К6 – ТЕ Колубара</w:t>
      </w:r>
      <w:r w:rsidRPr="002A7E57">
        <w:rPr>
          <w:rFonts w:ascii="Arial" w:hAnsi="Arial"/>
        </w:rPr>
        <w:t xml:space="preserve">, </w:t>
      </w:r>
      <w:r w:rsidRPr="002A7E57">
        <w:rPr>
          <w:rFonts w:ascii="Arial" w:hAnsi="Arial"/>
          <w:iCs/>
        </w:rPr>
        <w:t xml:space="preserve">на захтев заинтересованог лица, даје </w:t>
      </w:r>
    </w:p>
    <w:p w:rsidR="00823373" w:rsidRPr="002A7E57" w:rsidRDefault="00823373" w:rsidP="003317EC">
      <w:pPr>
        <w:spacing w:line="240" w:lineRule="auto"/>
        <w:jc w:val="center"/>
        <w:rPr>
          <w:rFonts w:ascii="Arial" w:hAnsi="Arial"/>
          <w:iCs/>
        </w:rPr>
      </w:pPr>
      <w:r w:rsidRPr="002A7E57">
        <w:rPr>
          <w:rFonts w:ascii="Arial" w:hAnsi="Arial"/>
          <w:iCs/>
        </w:rPr>
        <w:t>ДОДАТНЕ ИНФОРМАЦИЈЕ ИЛИ ПОЈАШЊЕЊА</w:t>
      </w:r>
    </w:p>
    <w:p w:rsidR="00823373" w:rsidRPr="002A7E57" w:rsidRDefault="00823373" w:rsidP="003317EC">
      <w:pPr>
        <w:spacing w:line="240" w:lineRule="auto"/>
        <w:jc w:val="center"/>
        <w:rPr>
          <w:rFonts w:ascii="Arial" w:hAnsi="Arial"/>
          <w:iCs/>
          <w:lang w:val="sr-Cyrl-RS"/>
        </w:rPr>
      </w:pPr>
      <w:r w:rsidRPr="002A7E57">
        <w:rPr>
          <w:rFonts w:ascii="Arial" w:hAnsi="Arial"/>
          <w:iCs/>
        </w:rPr>
        <w:t>У ВЕЗИ СА ПРИПРЕМАЊЕМ ПОНУДЕ</w:t>
      </w:r>
    </w:p>
    <w:p w:rsidR="007207B0" w:rsidRPr="002A7E57" w:rsidRDefault="00823373" w:rsidP="007207B0">
      <w:pPr>
        <w:spacing w:line="240" w:lineRule="auto"/>
        <w:jc w:val="center"/>
        <w:rPr>
          <w:rFonts w:ascii="Arial" w:hAnsi="Arial"/>
          <w:b/>
          <w:iCs/>
          <w:lang w:val="ru-RU"/>
        </w:rPr>
      </w:pPr>
      <w:r w:rsidRPr="002A7E57">
        <w:rPr>
          <w:rFonts w:ascii="Arial" w:hAnsi="Arial"/>
          <w:b/>
          <w:iCs/>
        </w:rPr>
        <w:t xml:space="preserve">Бр. </w:t>
      </w:r>
      <w:r w:rsidR="00A04689" w:rsidRPr="002A7E57">
        <w:rPr>
          <w:rFonts w:ascii="Arial" w:hAnsi="Arial"/>
          <w:b/>
          <w:iCs/>
          <w:lang w:val="sr-Cyrl-RS"/>
        </w:rPr>
        <w:t>2</w:t>
      </w:r>
      <w:r w:rsidRPr="002A7E57">
        <w:rPr>
          <w:rFonts w:ascii="Arial" w:hAnsi="Arial"/>
          <w:b/>
          <w:iCs/>
        </w:rPr>
        <w:t>.</w:t>
      </w:r>
    </w:p>
    <w:p w:rsidR="00823373" w:rsidRPr="002A7E57" w:rsidRDefault="00823373" w:rsidP="007207B0">
      <w:pPr>
        <w:spacing w:line="240" w:lineRule="auto"/>
        <w:rPr>
          <w:rFonts w:ascii="Arial" w:hAnsi="Arial"/>
          <w:b/>
          <w:iCs/>
          <w:lang w:val="ru-RU"/>
        </w:rPr>
      </w:pPr>
      <w:r w:rsidRPr="002A7E5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A7E57">
        <w:rPr>
          <w:rFonts w:ascii="Arial" w:hAnsi="Arial"/>
          <w:iCs/>
          <w:lang w:val="sr-Cyrl-RS"/>
        </w:rPr>
        <w:t xml:space="preserve">дана </w:t>
      </w:r>
      <w:r w:rsidRPr="002A7E57">
        <w:rPr>
          <w:rFonts w:ascii="Arial" w:hAnsi="Arial"/>
          <w:iCs/>
        </w:rPr>
        <w:t xml:space="preserve">пријема захтева </w:t>
      </w:r>
      <w:r w:rsidR="008C28EE" w:rsidRPr="002A7E57">
        <w:rPr>
          <w:rFonts w:ascii="Arial" w:hAnsi="Arial"/>
          <w:iCs/>
        </w:rPr>
        <w:t xml:space="preserve">објављује на Порталу јавних набавки и интернет страници </w:t>
      </w:r>
      <w:r w:rsidR="008C28EE" w:rsidRPr="002A7E57">
        <w:rPr>
          <w:rFonts w:ascii="Arial" w:hAnsi="Arial"/>
          <w:iCs/>
          <w:lang w:val="sr-Cyrl-RS"/>
        </w:rPr>
        <w:t>Н</w:t>
      </w:r>
      <w:r w:rsidR="008C28EE" w:rsidRPr="002A7E57">
        <w:rPr>
          <w:rFonts w:ascii="Arial" w:hAnsi="Arial"/>
          <w:iCs/>
        </w:rPr>
        <w:t>аручиоца</w:t>
      </w:r>
      <w:r w:rsidR="008C28EE" w:rsidRPr="002A7E57">
        <w:rPr>
          <w:rFonts w:ascii="Arial" w:hAnsi="Arial"/>
          <w:iCs/>
          <w:lang w:val="sr-Cyrl-RS"/>
        </w:rPr>
        <w:t>,</w:t>
      </w:r>
      <w:r w:rsidR="008C28EE" w:rsidRPr="002A7E57">
        <w:rPr>
          <w:rFonts w:ascii="Arial" w:hAnsi="Arial"/>
          <w:b/>
          <w:i/>
          <w:iCs/>
          <w:lang w:val="sr-Cyrl-RS"/>
        </w:rPr>
        <w:t xml:space="preserve">  </w:t>
      </w:r>
      <w:r w:rsidRPr="002A7E57">
        <w:rPr>
          <w:rFonts w:ascii="Arial" w:hAnsi="Arial"/>
          <w:iCs/>
        </w:rPr>
        <w:t>следеће информације, односно појашњења:</w:t>
      </w:r>
    </w:p>
    <w:p w:rsidR="00326B1D" w:rsidRPr="002A7E57" w:rsidRDefault="00326B1D" w:rsidP="003317EC">
      <w:pPr>
        <w:rPr>
          <w:rFonts w:ascii="Arial" w:hAnsi="Arial"/>
          <w:b/>
          <w:iCs/>
          <w:lang w:val="sr-Cyrl-RS"/>
        </w:rPr>
      </w:pPr>
    </w:p>
    <w:p w:rsidR="00823373" w:rsidRPr="002A7E57" w:rsidRDefault="00823373" w:rsidP="003317EC">
      <w:pPr>
        <w:rPr>
          <w:rFonts w:ascii="Arial" w:hAnsi="Arial"/>
          <w:lang w:val="ru-RU"/>
        </w:rPr>
      </w:pPr>
      <w:r w:rsidRPr="002A7E57">
        <w:rPr>
          <w:rFonts w:ascii="Arial" w:hAnsi="Arial"/>
          <w:b/>
          <w:iCs/>
        </w:rPr>
        <w:t>ПИТАЊЕ 1</w:t>
      </w:r>
      <w:r w:rsidRPr="002A7E57">
        <w:rPr>
          <w:rFonts w:ascii="Arial" w:hAnsi="Arial"/>
          <w:iCs/>
        </w:rPr>
        <w:t>:</w:t>
      </w:r>
      <w:r w:rsidRPr="002A7E57">
        <w:rPr>
          <w:rFonts w:ascii="Arial" w:hAnsi="Arial"/>
          <w:iCs/>
          <w:lang w:val="ru-RU"/>
        </w:rPr>
        <w:t xml:space="preserve"> </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Заинтересовано лице је, преко пуномоћника, дана 22.12.2017. године, упутило наручиоцу указивања на неправилности и недостатке у предметној конкурсној документацији, поводом којих је наручилац дана 25.12.2017. године објавио одговоре на Порталу јавних набавки.</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Између осталог, у том допису је указано на неопходност измене конкурсне документације у делу 4.1 „Обавезни услови за учешће у поступку јавне набавке из члана 75. Закона“ на страни 12/70 конкурсне документације, где је предвиђено да понуђач мора да има важећу дозволу (решење) надлежног органа за испуњавање услова за обављање делатности која је предмет јавне набавке на објектима термоелектрана снаге 10 и више МW (према Закону о планирању и изградњи чл.150.), тј. за извођење радова за које одобрење за изградњу издаје Министарство. Дозвола се односи на носиоца (или носиоце) конзорцијума, а као доказ у прилог испуњености овог услова, предвиђено је достављање важеће лиценце за извођење радова за термоелектране снаге 10 и више МW, И052Г1 (извођење грађевинских конструкција) издатa од надлежног Министарства грађевинарства, саобраћаја и инфраструктуре, односно Министарства за капиталне инвестиције или одговарајућег министарства.</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Наручилац је у оквиру својих одговора од 25.12.2017. године, навео да остаје при захтеву из конкурсне документације да је потребна ллиценца ИО52Г1, јер, како је истакао, термоизолатерски и скеларски радови спадају у групу извођења грађевинске конструкције.</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Није дато детаљно објашњење нити логичко оправдање оваквог захтева, нити је наручилац у свом одговору објаснио како термоизолатерски и скеларски радови спадају у групу извођења грађевинске конструкције.</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 xml:space="preserve">У вези са предметним обавезним условом за учешће у поступку јавне набавке и одговором наручиоца од 25.12.2017. године, истичемо још једном да је </w:t>
      </w:r>
      <w:r w:rsidRPr="002A7E57">
        <w:rPr>
          <w:rFonts w:ascii="Arial" w:eastAsia="Calibri" w:hAnsi="Arial"/>
          <w:noProof/>
          <w:u w:val="single"/>
          <w:lang w:val="sr-Cyrl-RS"/>
        </w:rPr>
        <w:t>Mинистарство грађевинарства, саобраћаја и инфраструктуре Републике Србије је дана 28.02.2017. године</w:t>
      </w:r>
      <w:r w:rsidRPr="002A7E57">
        <w:rPr>
          <w:rFonts w:ascii="Arial" w:eastAsia="Calibri" w:hAnsi="Arial"/>
          <w:noProof/>
          <w:lang w:val="sr-Cyrl-RS"/>
        </w:rPr>
        <w:t xml:space="preserve">, по захтеву за давање мишљења овде заинтересованог лица о томе да ли је за </w:t>
      </w:r>
      <w:r w:rsidRPr="002A7E57">
        <w:rPr>
          <w:rFonts w:ascii="Arial" w:eastAsia="Calibri" w:hAnsi="Arial"/>
          <w:b/>
          <w:noProof/>
          <w:lang w:val="sr-Cyrl-RS"/>
        </w:rPr>
        <w:t>термоизолатерске, скеларске</w:t>
      </w:r>
      <w:r w:rsidRPr="002A7E57">
        <w:rPr>
          <w:rFonts w:ascii="Arial" w:eastAsia="Calibri" w:hAnsi="Arial"/>
          <w:noProof/>
          <w:lang w:val="sr-Cyrl-RS"/>
        </w:rPr>
        <w:t xml:space="preserve">, браварско заваривачке и радове на антикорозивној заштити на термоелектранама снаге 10 и више MW законом предвиђено поседовање велике лиценце, односно да ли је </w:t>
      </w:r>
      <w:r w:rsidRPr="002A7E57">
        <w:rPr>
          <w:rFonts w:ascii="Arial" w:eastAsia="Calibri" w:hAnsi="Arial"/>
          <w:noProof/>
          <w:lang w:val="sr-Cyrl-RS"/>
        </w:rPr>
        <w:lastRenderedPageBreak/>
        <w:t>предвиђена једна од следеће четири велике лиценце, тј. да ли је за наведене радове уопште потребна било која велика лиценца:</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1.   П052Г1 – пројекти грађевинских конструкција за термоелектране снаге 10 и више MW</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2. П052М1 – пројекти термотехничких, термоенергетских, процесних и гасних инсталација за термоелектране снаге 10 и више MW</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3.  И052Г1 – извођење грађевинских конструкција за термоелектране снаге 10 и више MW</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4. И052М1 – извођење термотехничких, термоенергетских, процесних и гасних инсталација за термоелектране снаге 10 и више MW.</w:t>
      </w:r>
    </w:p>
    <w:p w:rsidR="002A7E57" w:rsidRPr="002A7E57" w:rsidRDefault="002A7E57" w:rsidP="002A7E57">
      <w:pPr>
        <w:rPr>
          <w:rFonts w:ascii="Arial" w:eastAsia="Calibri" w:hAnsi="Arial"/>
          <w:noProof/>
          <w:u w:val="single"/>
          <w:lang w:val="sr-Cyrl-RS"/>
        </w:rPr>
      </w:pPr>
      <w:r w:rsidRPr="002A7E57">
        <w:rPr>
          <w:rFonts w:ascii="Arial" w:eastAsia="Calibri" w:hAnsi="Arial"/>
          <w:noProof/>
          <w:u w:val="single"/>
          <w:lang w:val="sr-Cyrl-RS"/>
        </w:rPr>
        <w:t>дало мишљење следеће садржине:</w:t>
      </w:r>
    </w:p>
    <w:p w:rsidR="002A7E57" w:rsidRPr="002A7E57" w:rsidRDefault="002A7E57" w:rsidP="002A7E57">
      <w:pPr>
        <w:spacing w:after="160"/>
        <w:rPr>
          <w:rFonts w:ascii="Arial" w:eastAsia="Calibri" w:hAnsi="Arial"/>
          <w:b/>
          <w:noProof/>
          <w:lang w:val="sr-Cyrl-RS"/>
        </w:rPr>
      </w:pPr>
      <w:r w:rsidRPr="002A7E57">
        <w:rPr>
          <w:rFonts w:ascii="Arial" w:eastAsia="Calibri" w:hAnsi="Arial"/>
          <w:b/>
          <w:noProof/>
          <w:lang w:val="sr-Cyrl-RS"/>
        </w:rPr>
        <w:t>„За наведене радове потребно је поседовати велику лиценцу И052М1“.</w:t>
      </w:r>
    </w:p>
    <w:p w:rsidR="002A7E57" w:rsidRPr="002A7E57" w:rsidRDefault="002A7E57" w:rsidP="002A7E57">
      <w:pPr>
        <w:rPr>
          <w:rFonts w:ascii="Arial" w:eastAsia="Calibri" w:hAnsi="Arial"/>
          <w:noProof/>
          <w:u w:val="single"/>
          <w:lang w:val="sr-Cyrl-RS"/>
        </w:rPr>
      </w:pPr>
      <w:r w:rsidRPr="002A7E57">
        <w:rPr>
          <w:rFonts w:ascii="Arial" w:eastAsia="Calibri" w:hAnsi="Arial"/>
          <w:noProof/>
          <w:u w:val="single"/>
          <w:lang w:val="sr-Cyrl-RS"/>
        </w:rPr>
        <w:t>Предметно мишљење Mинистарства грађевинарства, саобраћаја и инфраструктуре Републике Србије од 28.02.2017. године је достављено наручиоцу у претходном допису од 22.12.2017. године, а налази се и у прилогу овог дописа.</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 xml:space="preserve">Поново указујемо наручиоцу да је у оквиру питања које је постављено Министарству грађевинарства, саобраћаја и инфраструктуре Републике Србије наведено неколико врста радова, међу којима су термоизолатерски и скеларски радови за које наручилац наводи да спадају у грађевинске конструкције, те да се баш поводом тога Министарство изјаснило да је за извођење тих (термоизолатерских и скеларских) радова потребна лиценца </w:t>
      </w:r>
      <w:r w:rsidRPr="002A7E57">
        <w:rPr>
          <w:rFonts w:ascii="Arial" w:eastAsia="Calibri" w:hAnsi="Arial"/>
          <w:b/>
          <w:noProof/>
          <w:lang w:val="sr-Cyrl-RS"/>
        </w:rPr>
        <w:t>И052М1</w:t>
      </w:r>
      <w:r w:rsidRPr="002A7E57">
        <w:rPr>
          <w:rFonts w:ascii="Arial" w:eastAsia="Calibri" w:hAnsi="Arial"/>
          <w:noProof/>
          <w:lang w:val="sr-Cyrl-RS"/>
        </w:rPr>
        <w:t>. Предмет конкретног поступка јавне набавке је термоизолација К3-К6, односно према техничкој спецификацији предметне конкурсне документације то су управо термоизолатерски радови (монтирање и демонтирање изолације) и скеларски радови, те је сасвим јасно да наручилац нема никаквог разлога за оваквим захтевом из конкурсне документације.</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 xml:space="preserve">Сам наручилац је у оквиру додатног услова пословног капацитета навео следеће: „да понуђач располаже неопходним пословним капацитетом ако је у 2014.,2015. и 2016. години успешно реализовао </w:t>
      </w:r>
      <w:r w:rsidRPr="002A7E57">
        <w:rPr>
          <w:rFonts w:ascii="Arial" w:eastAsia="Calibri" w:hAnsi="Arial"/>
          <w:b/>
          <w:noProof/>
          <w:lang w:val="sr-Cyrl-RS"/>
        </w:rPr>
        <w:t>радове које су предмет јавне набавке (</w:t>
      </w:r>
      <w:r w:rsidRPr="002A7E57">
        <w:rPr>
          <w:rFonts w:ascii="Arial" w:eastAsia="Calibri" w:hAnsi="Arial"/>
          <w:b/>
          <w:noProof/>
          <w:u w:val="single"/>
          <w:lang w:val="sr-Cyrl-RS"/>
        </w:rPr>
        <w:t>термоизолација са скеларским услугама</w:t>
      </w:r>
      <w:r w:rsidRPr="002A7E57">
        <w:rPr>
          <w:rFonts w:ascii="Arial" w:eastAsia="Calibri" w:hAnsi="Arial"/>
          <w:b/>
          <w:noProof/>
          <w:lang w:val="sr-Cyrl-RS"/>
        </w:rPr>
        <w:t>)</w:t>
      </w:r>
      <w:r w:rsidRPr="002A7E57">
        <w:rPr>
          <w:rFonts w:ascii="Arial" w:eastAsia="Calibri" w:hAnsi="Arial"/>
          <w:noProof/>
          <w:lang w:val="sr-Cyrl-RS"/>
        </w:rPr>
        <w:t>...“, што само потврђује наше наводе и у овом допису, односно да за радове који су предмет конкретне јавне набавке није оправдано захтевати лиценцу И052Г1.</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Уколико би наручилац наставио да инсистира на оваквој лиценци, то би, с обзиром на предмет јавне набавке који обухвата једино термоизолатерске и скеларске радове, значило да сви чланови групе понуђача морају да доставе ту лиценцу, што није смисао ни сврха те лиценце, нити је иста уопште потребна у предметном поступку јавне набавке.</w:t>
      </w:r>
    </w:p>
    <w:p w:rsidR="00A42868" w:rsidRPr="002A7E57" w:rsidRDefault="002A7E57" w:rsidP="002A7E57">
      <w:pPr>
        <w:rPr>
          <w:rFonts w:ascii="Arial" w:eastAsia="Calibri" w:hAnsi="Arial"/>
          <w:noProof/>
          <w:lang w:val="en-US"/>
        </w:rPr>
      </w:pPr>
      <w:r w:rsidRPr="002A7E57">
        <w:rPr>
          <w:rFonts w:ascii="Arial" w:eastAsia="Calibri" w:hAnsi="Arial"/>
          <w:noProof/>
          <w:lang w:val="sr-Cyrl-RS"/>
        </w:rPr>
        <w:t>Још једном указујемо наручиоцу да је неопходно изменити конкурсну документацију у делу где је предвиђено достављање лиценце ИО52Г1, тако да иста не буде захтевана као обавезни услов за учешће у поступку</w:t>
      </w:r>
      <w:r>
        <w:rPr>
          <w:rFonts w:ascii="Arial" w:eastAsia="Calibri" w:hAnsi="Arial"/>
          <w:noProof/>
          <w:lang w:val="en-US"/>
        </w:rPr>
        <w:t>.</w:t>
      </w:r>
    </w:p>
    <w:p w:rsidR="00384F95" w:rsidRPr="002A7E57" w:rsidRDefault="00384F95" w:rsidP="007207B0">
      <w:pPr>
        <w:spacing w:line="240" w:lineRule="auto"/>
        <w:rPr>
          <w:rFonts w:ascii="Arial" w:hAnsi="Arial"/>
          <w:b/>
          <w:iCs/>
          <w:lang w:val="sr-Cyrl-RS"/>
        </w:rPr>
      </w:pPr>
    </w:p>
    <w:p w:rsidR="00384F95" w:rsidRPr="002A7E57" w:rsidRDefault="00384F95" w:rsidP="00384F95">
      <w:pPr>
        <w:rPr>
          <w:rFonts w:ascii="Arial" w:hAnsi="Arial"/>
          <w:b/>
          <w:iCs/>
          <w:lang w:val="sr-Cyrl-RS"/>
        </w:rPr>
      </w:pPr>
      <w:r w:rsidRPr="002A7E57">
        <w:rPr>
          <w:rFonts w:ascii="Arial" w:hAnsi="Arial"/>
          <w:b/>
          <w:iCs/>
        </w:rPr>
        <w:t xml:space="preserve">ОДГОВОР </w:t>
      </w:r>
      <w:r w:rsidRPr="002A7E57">
        <w:rPr>
          <w:rFonts w:ascii="Arial" w:hAnsi="Arial"/>
          <w:b/>
          <w:iCs/>
          <w:lang w:val="sr-Cyrl-RS"/>
        </w:rPr>
        <w:t>1</w:t>
      </w:r>
      <w:r w:rsidRPr="002A7E57">
        <w:rPr>
          <w:rFonts w:ascii="Arial" w:hAnsi="Arial"/>
          <w:b/>
          <w:iCs/>
        </w:rPr>
        <w:t>:</w:t>
      </w:r>
    </w:p>
    <w:p w:rsidR="00384F95" w:rsidRPr="002A7E57" w:rsidRDefault="00384F95" w:rsidP="007207B0">
      <w:pPr>
        <w:spacing w:line="240" w:lineRule="auto"/>
        <w:rPr>
          <w:rFonts w:ascii="Arial" w:hAnsi="Arial"/>
          <w:b/>
          <w:iCs/>
          <w:lang w:val="sr-Cyrl-RS"/>
        </w:rPr>
      </w:pPr>
    </w:p>
    <w:p w:rsidR="00384F95" w:rsidRPr="002A7E57" w:rsidRDefault="00384F95" w:rsidP="00384F95">
      <w:pPr>
        <w:rPr>
          <w:rFonts w:ascii="Arial" w:hAnsi="Arial"/>
          <w:b/>
          <w:iCs/>
          <w:lang w:val="sr-Cyrl-RS"/>
        </w:rPr>
      </w:pPr>
      <w:r w:rsidRPr="002A7E57">
        <w:rPr>
          <w:rFonts w:ascii="Arial" w:hAnsi="Arial"/>
          <w:b/>
          <w:iCs/>
          <w:lang w:val="sr-Cyrl-RS"/>
        </w:rPr>
        <w:t>Измена конкурсне документације биће објављена на Порталу јавних набавки и интернет страници наручиоца.</w:t>
      </w:r>
    </w:p>
    <w:p w:rsidR="00384F95" w:rsidRPr="002A7E57" w:rsidRDefault="00384F95" w:rsidP="007207B0">
      <w:pPr>
        <w:spacing w:line="240" w:lineRule="auto"/>
        <w:rPr>
          <w:rFonts w:ascii="Arial" w:hAnsi="Arial"/>
          <w:b/>
          <w:iCs/>
          <w:lang w:val="sr-Cyrl-RS"/>
        </w:rPr>
      </w:pPr>
    </w:p>
    <w:p w:rsidR="00384F95" w:rsidRPr="002A7E57" w:rsidRDefault="007207B0" w:rsidP="007207B0">
      <w:pPr>
        <w:spacing w:line="240" w:lineRule="auto"/>
        <w:rPr>
          <w:rFonts w:ascii="Arial" w:hAnsi="Arial"/>
          <w:iCs/>
          <w:lang w:val="sr-Cyrl-RS"/>
        </w:rPr>
      </w:pPr>
      <w:r w:rsidRPr="002A7E57">
        <w:rPr>
          <w:rFonts w:ascii="Arial" w:hAnsi="Arial"/>
          <w:b/>
          <w:iCs/>
        </w:rPr>
        <w:t xml:space="preserve">ПИТАЊЕ </w:t>
      </w:r>
      <w:r w:rsidRPr="002A7E57">
        <w:rPr>
          <w:rFonts w:ascii="Arial" w:hAnsi="Arial"/>
          <w:b/>
          <w:iCs/>
          <w:lang w:val="en-US"/>
        </w:rPr>
        <w:t>2</w:t>
      </w:r>
      <w:r w:rsidRPr="002A7E57">
        <w:rPr>
          <w:rFonts w:ascii="Arial" w:hAnsi="Arial"/>
          <w:iCs/>
        </w:rPr>
        <w:t>:</w:t>
      </w:r>
    </w:p>
    <w:p w:rsidR="002A7E57" w:rsidRPr="002A7E57" w:rsidRDefault="002A7E57" w:rsidP="002A7E57">
      <w:pPr>
        <w:rPr>
          <w:rFonts w:ascii="Arial" w:eastAsia="Calibri" w:hAnsi="Arial"/>
          <w:noProof/>
          <w:lang w:val="sr-Cyrl-RS"/>
        </w:rPr>
      </w:pPr>
      <w:r w:rsidRPr="002A7E57">
        <w:rPr>
          <w:rFonts w:ascii="Arial" w:eastAsia="Calibri" w:hAnsi="Arial"/>
          <w:noProof/>
          <w:lang w:val="sr-Cyrl-RS"/>
        </w:rPr>
        <w:t xml:space="preserve">У претходном допису по члану 63. став 2. ЗЈН од 22.12.2017. године, указано је наручиоцу и на неправилности у конкурсној документацији у погледу начина на који је дефинисан услов и докази пословног капацитета, поводом чега је наручилац у својим одговорима од 25.12.2017. </w:t>
      </w:r>
      <w:r w:rsidRPr="002A7E57">
        <w:rPr>
          <w:rFonts w:ascii="Arial" w:eastAsia="Calibri" w:hAnsi="Arial"/>
          <w:noProof/>
          <w:lang w:val="sr-Cyrl-RS"/>
        </w:rPr>
        <w:lastRenderedPageBreak/>
        <w:t>године, навео само да остаје при захтевима из конкурсне документације, без икаквог образложења и логичког оправдања својих захтева.</w:t>
      </w:r>
    </w:p>
    <w:p w:rsidR="002A7E57" w:rsidRPr="002A7E57" w:rsidRDefault="002A7E57" w:rsidP="002A7E57">
      <w:pPr>
        <w:rPr>
          <w:rFonts w:ascii="Arial" w:eastAsia="Calibri" w:hAnsi="Arial"/>
          <w:noProof/>
          <w:lang w:val="sr-Latn-RS"/>
        </w:rPr>
      </w:pPr>
      <w:r w:rsidRPr="002A7E57">
        <w:rPr>
          <w:rFonts w:ascii="Arial" w:eastAsia="Calibri" w:hAnsi="Arial"/>
          <w:noProof/>
          <w:lang w:val="sr-Cyrl-RS"/>
        </w:rPr>
        <w:t xml:space="preserve">Због тога, понављамо да је </w:t>
      </w:r>
      <w:r w:rsidRPr="002A7E57">
        <w:rPr>
          <w:rFonts w:ascii="Arial" w:eastAsia="Calibri" w:hAnsi="Arial"/>
          <w:noProof/>
          <w:lang w:val="sr-Latn-RS"/>
        </w:rPr>
        <w:t>у делу конкурсне документације, Образац 5. „Списак изведених радова – стручне референце“ наведено „референтни наручилац“, док је у Обрасцу 6. „Потврда о референтним набавкама“, у оквиру текста потврде наведено „у уговореном року, обиму и квалитету и да до дана издавања ове потврде није прекршио своје обавезе из гарантног рока“.</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1)</w:t>
      </w:r>
      <w:r w:rsidRPr="002A7E57">
        <w:rPr>
          <w:rFonts w:ascii="Arial" w:eastAsia="Calibri" w:hAnsi="Arial"/>
          <w:noProof/>
          <w:lang w:val="sr-Latn-RS"/>
        </w:rPr>
        <w:tab/>
        <w:t xml:space="preserve"> Имајући у виду да је у Обрасцу 5. „Списак изведених радова – стручне референце“ наведено “референтни наручилац“, док је у Потврди о референтним набавкама наведено „наручилац предметних радова“, сматрамо да је наручилац дужан да појасни начин доказивања пословног капацитета, те да при том има у виду следеће:</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 xml:space="preserve">Наручилац је дужан да прихвати како референце издате од стране наручилаца у смислу ЗЈН-а, тако и референце издате од стране купаца као и извођача радова. Сматрамо да није правилно захтевати једино референце које су настале у оквиру реализованих уговора са наручиоцима, већ је логично дозволити и достављање референци и са купцима, који могу бити из категорије наручилаца ван дефиниције из Закона о јавним набавкама. </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 xml:space="preserve">Потврда коју је издао или потписао купац који се не сматра наручиоцем у смислу ЗJН-a (остала правна лица, односно предузетници)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као купац. Ирелевантно је, дакле, да ли је купац заправо извођач или не, јер он закључује уговор са понуђачем, који је или извођач или подизвођач, али је једино опис послова тај који је важан са аспекта пословног капацитета.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 xml:space="preserve">Такође, </w:t>
      </w:r>
      <w:r w:rsidRPr="002A7E57">
        <w:rPr>
          <w:rFonts w:ascii="Arial" w:eastAsia="Calibri" w:hAnsi="Arial"/>
          <w:noProof/>
          <w:lang w:val="sr-Cyrl-RS"/>
        </w:rPr>
        <w:t>наручилац мора</w:t>
      </w:r>
      <w:r w:rsidRPr="002A7E57">
        <w:rPr>
          <w:rFonts w:ascii="Arial" w:eastAsia="Calibri" w:hAnsi="Arial"/>
          <w:noProof/>
          <w:lang w:val="sr-Latn-RS"/>
        </w:rPr>
        <w:t xml:space="preserve"> посебно </w:t>
      </w:r>
      <w:r w:rsidRPr="002A7E57">
        <w:rPr>
          <w:rFonts w:ascii="Arial" w:eastAsia="Calibri" w:hAnsi="Arial"/>
          <w:noProof/>
          <w:lang w:val="sr-Cyrl-RS"/>
        </w:rPr>
        <w:t xml:space="preserve">да </w:t>
      </w:r>
      <w:r w:rsidRPr="002A7E57">
        <w:rPr>
          <w:rFonts w:ascii="Arial" w:eastAsia="Calibri" w:hAnsi="Arial"/>
          <w:noProof/>
          <w:lang w:val="sr-Latn-RS"/>
        </w:rPr>
        <w:t xml:space="preserve">води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Дакле, иако се ради о условима за учешће у поступку, који се самим тим односе на пословање, односно капацитете понуђача, потребно је да и ти услови буду у логичкој вези са предметом јавне набавке, односно да буду у корелацији са предметом будућег уговора. Конкретно, 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изводе на исти начин и под истим правилима без обзира ко понуђаче ангажује за то, дакле, без обзира да ли је то наручилац или купац или извођач.</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 xml:space="preserve">Решењем Републичке комисије бр. 4-00-1585/2016 од 20.12.2016. године утврђено </w:t>
      </w:r>
      <w:r w:rsidRPr="002A7E57">
        <w:rPr>
          <w:rFonts w:ascii="Arial" w:eastAsia="Calibri" w:hAnsi="Arial"/>
          <w:noProof/>
          <w:lang w:val="sr-Cyrl-RS"/>
        </w:rPr>
        <w:t xml:space="preserve">је </w:t>
      </w:r>
      <w:r w:rsidRPr="002A7E57">
        <w:rPr>
          <w:rFonts w:ascii="Arial" w:eastAsia="Calibri" w:hAnsi="Arial"/>
          <w:noProof/>
          <w:lang w:val="sr-Latn-RS"/>
        </w:rPr>
        <w:t xml:space="preserve">да је пословни капацитет и овако постављен доказ пословног капацитета дискриминаторски и да представља ограничење конкуренције у смислу одредбе члана 10. и 12. ЗЈН, те да је </w:t>
      </w:r>
      <w:r w:rsidRPr="002A7E57">
        <w:rPr>
          <w:rFonts w:ascii="Arial" w:eastAsia="Calibri" w:hAnsi="Arial"/>
          <w:noProof/>
          <w:u w:val="single"/>
          <w:lang w:val="sr-Latn-RS"/>
        </w:rPr>
        <w:t>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w:t>
      </w:r>
      <w:r w:rsidRPr="002A7E57">
        <w:rPr>
          <w:rFonts w:ascii="Arial" w:eastAsia="Calibri" w:hAnsi="Arial"/>
          <w:noProof/>
          <w:lang w:val="sr-Latn-RS"/>
        </w:rPr>
        <w:t xml:space="preserve"> </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Додатно, у неколико поступака јавних набавки покренутих након доношења наведеног решења Републичке комисије</w:t>
      </w:r>
      <w:r w:rsidRPr="002A7E57">
        <w:rPr>
          <w:rFonts w:ascii="Arial" w:eastAsia="Calibri" w:hAnsi="Arial"/>
          <w:noProof/>
          <w:lang w:val="sr-Cyrl-RS"/>
        </w:rPr>
        <w:t>,</w:t>
      </w:r>
      <w:r w:rsidRPr="002A7E57">
        <w:rPr>
          <w:rFonts w:ascii="Arial" w:eastAsia="Calibri" w:hAnsi="Arial"/>
          <w:noProof/>
          <w:lang w:val="sr-Latn-RS"/>
        </w:rPr>
        <w:t xml:space="preserve"> </w:t>
      </w:r>
      <w:r w:rsidRPr="002A7E57">
        <w:rPr>
          <w:rFonts w:ascii="Arial" w:eastAsia="Calibri" w:hAnsi="Arial"/>
          <w:noProof/>
          <w:u w:val="single"/>
          <w:lang w:val="sr-Latn-RS"/>
        </w:rPr>
        <w:t>исти наручилац</w:t>
      </w:r>
      <w:r w:rsidRPr="002A7E57">
        <w:rPr>
          <w:rFonts w:ascii="Arial" w:eastAsia="Calibri" w:hAnsi="Arial"/>
          <w:noProof/>
          <w:lang w:val="sr-Latn-RS"/>
        </w:rPr>
        <w:t xml:space="preserve"> </w:t>
      </w:r>
      <w:r w:rsidRPr="002A7E57">
        <w:rPr>
          <w:rFonts w:ascii="Arial" w:eastAsia="Calibri" w:hAnsi="Arial"/>
          <w:noProof/>
          <w:lang w:val="sr-Cyrl-RS"/>
        </w:rPr>
        <w:t xml:space="preserve">(Огранак ТЕНТ) </w:t>
      </w:r>
      <w:r w:rsidRPr="002A7E57">
        <w:rPr>
          <w:rFonts w:ascii="Arial" w:eastAsia="Calibri" w:hAnsi="Arial"/>
          <w:noProof/>
          <w:lang w:val="sr-Latn-RS"/>
        </w:rPr>
        <w:t xml:space="preserve">је усвојио праксу тог органа и </w:t>
      </w:r>
      <w:r w:rsidRPr="002A7E57">
        <w:rPr>
          <w:rFonts w:ascii="Arial" w:eastAsia="Calibri" w:hAnsi="Arial"/>
          <w:noProof/>
          <w:lang w:val="sr-Latn-RS"/>
        </w:rPr>
        <w:lastRenderedPageBreak/>
        <w:t xml:space="preserve">прилагодио захтеве у погледу пословног капацитета тој одлуци </w:t>
      </w:r>
      <w:r w:rsidRPr="002A7E57">
        <w:rPr>
          <w:rFonts w:ascii="Arial" w:eastAsia="Calibri" w:hAnsi="Arial"/>
          <w:noProof/>
          <w:lang w:val="sr-Cyrl-RS"/>
        </w:rPr>
        <w:t>(нпр. ЈН бр. 1840/2016-3000/1940/2016, ЈН бр. 3000/0929/2016 (1853/2016) и ЈН бр. 3000/1187/2016 (1893/2016))</w:t>
      </w:r>
      <w:r w:rsidRPr="002A7E57">
        <w:rPr>
          <w:rFonts w:ascii="Arial" w:eastAsia="Calibri" w:hAnsi="Arial"/>
          <w:noProof/>
          <w:lang w:val="sr-Latn-RS"/>
        </w:rPr>
        <w:t>.</w:t>
      </w:r>
    </w:p>
    <w:p w:rsidR="002A7E57" w:rsidRPr="002A7E57" w:rsidRDefault="002A7E57" w:rsidP="002A7E57">
      <w:pPr>
        <w:spacing w:after="160"/>
        <w:rPr>
          <w:rFonts w:ascii="Arial" w:eastAsia="Calibri" w:hAnsi="Arial"/>
          <w:noProof/>
          <w:lang w:val="sr-Latn-RS"/>
        </w:rPr>
      </w:pPr>
      <w:r w:rsidRPr="002A7E57">
        <w:rPr>
          <w:rFonts w:ascii="Arial" w:eastAsia="Calibri" w:hAnsi="Arial"/>
          <w:noProof/>
          <w:lang w:val="sr-Latn-RS"/>
        </w:rPr>
        <w:t xml:space="preserve">Дакле, </w:t>
      </w:r>
      <w:r w:rsidRPr="002A7E57">
        <w:rPr>
          <w:rFonts w:ascii="Arial" w:eastAsia="Calibri" w:hAnsi="Arial"/>
          <w:noProof/>
          <w:lang w:val="sr-Cyrl-RS"/>
        </w:rPr>
        <w:t>поново указујемо</w:t>
      </w:r>
      <w:r w:rsidRPr="002A7E57">
        <w:rPr>
          <w:rFonts w:ascii="Arial" w:eastAsia="Calibri" w:hAnsi="Arial"/>
          <w:noProof/>
          <w:lang w:val="sr-Latn-RS"/>
        </w:rPr>
        <w:t xml:space="preserve"> наручиоцу да поред референци наручилаца и крајњих корисника, </w:t>
      </w:r>
      <w:r w:rsidRPr="002A7E57">
        <w:rPr>
          <w:rFonts w:ascii="Arial" w:eastAsia="Calibri" w:hAnsi="Arial"/>
          <w:noProof/>
          <w:lang w:val="sr-Cyrl-RS"/>
        </w:rPr>
        <w:t>конкурсном документацијом мора да п</w:t>
      </w:r>
      <w:r w:rsidRPr="002A7E57">
        <w:rPr>
          <w:rFonts w:ascii="Arial" w:eastAsia="Calibri" w:hAnsi="Arial"/>
          <w:noProof/>
          <w:lang w:val="sr-Latn-RS"/>
        </w:rPr>
        <w:t>редвиди и могућност доказивања референци од стране купаца као и извођача својим подизвођачима, те да самим тим прилагоди и измени обрасце из конкурсне документације (Списак и Потврда).</w:t>
      </w:r>
    </w:p>
    <w:p w:rsidR="002A7E57" w:rsidRPr="002A7E57" w:rsidRDefault="002A7E57" w:rsidP="002A7E57">
      <w:pPr>
        <w:rPr>
          <w:rFonts w:ascii="Arial" w:eastAsia="Calibri" w:hAnsi="Arial"/>
          <w:noProof/>
          <w:lang w:val="sr-Latn-RS"/>
        </w:rPr>
      </w:pPr>
      <w:r w:rsidRPr="002A7E57">
        <w:rPr>
          <w:rFonts w:ascii="Arial" w:eastAsia="Calibri" w:hAnsi="Arial"/>
          <w:noProof/>
          <w:lang w:val="sr-Latn-RS"/>
        </w:rPr>
        <w:t>2)</w:t>
      </w:r>
      <w:r w:rsidRPr="002A7E57">
        <w:rPr>
          <w:rFonts w:ascii="Arial" w:eastAsia="Calibri" w:hAnsi="Arial"/>
          <w:noProof/>
          <w:lang w:val="sr-Latn-RS"/>
        </w:rPr>
        <w:tab/>
        <w:t xml:space="preserve">У делу 4.2  „Додатни услови за учешће у поступку јавне набавке из члана 76. Закона“ на стр. 12/70 конкурсне документације, у оквиру додатног услова пословног капацитета наведено је да понуђач располаже неопходним пословним капацитетом ако је у 2014.,2015. и 2016. години успешно реализовао радове које су предмет јавне набавке (термоизолација са скеларским услугама) на термоелектранама снаге једнаке или веће од 32 MW минималне вредности  30.000.000,00 динара без ПДВ за наведени период. </w:t>
      </w:r>
    </w:p>
    <w:p w:rsidR="002A7E57" w:rsidRPr="002A7E57" w:rsidRDefault="002A7E57" w:rsidP="002A7E57">
      <w:pPr>
        <w:ind w:firstLine="708"/>
        <w:rPr>
          <w:rFonts w:ascii="Arial" w:eastAsia="Calibri" w:hAnsi="Arial"/>
          <w:noProof/>
          <w:lang w:val="sr-Latn-RS"/>
        </w:rPr>
      </w:pPr>
      <w:r w:rsidRPr="002A7E57">
        <w:rPr>
          <w:rFonts w:ascii="Arial" w:eastAsia="Calibri" w:hAnsi="Arial"/>
          <w:noProof/>
          <w:lang w:val="sr-Latn-RS"/>
        </w:rPr>
        <w:t xml:space="preserve">Са друге стране, у оквиру садржине Обрасца 6. „Потврда о референтним набавкама“, наведен је, поред осталог, и следећи текст: </w:t>
      </w:r>
      <w:r w:rsidRPr="002A7E57">
        <w:rPr>
          <w:rFonts w:ascii="Arial" w:eastAsia="Calibri" w:hAnsi="Arial"/>
          <w:i/>
          <w:noProof/>
          <w:lang w:val="sr-Latn-RS"/>
        </w:rPr>
        <w:t>„у уговореном року, обиму и квалитету и да до дана издавања ове потврде није прекршио своје обавезе из гарантног рока</w:t>
      </w:r>
      <w:r w:rsidRPr="002A7E57">
        <w:rPr>
          <w:rFonts w:ascii="Arial" w:eastAsia="Calibri" w:hAnsi="Arial"/>
          <w:noProof/>
          <w:lang w:val="sr-Latn-RS"/>
        </w:rPr>
        <w:t>“.</w:t>
      </w:r>
    </w:p>
    <w:p w:rsidR="002A7E57" w:rsidRPr="002A7E57" w:rsidRDefault="002A7E57" w:rsidP="002A7E57">
      <w:pPr>
        <w:ind w:firstLine="708"/>
        <w:rPr>
          <w:rFonts w:ascii="Arial" w:eastAsia="Calibri" w:hAnsi="Arial"/>
          <w:noProof/>
          <w:lang w:val="sr-Latn-RS"/>
        </w:rPr>
      </w:pPr>
      <w:r w:rsidRPr="002A7E57">
        <w:rPr>
          <w:rFonts w:ascii="Arial" w:eastAsia="Calibri" w:hAnsi="Arial"/>
          <w:noProof/>
          <w:lang w:val="sr-Latn-RS"/>
        </w:rPr>
        <w:t>Указујемо наручиоцу да услов за учешће у поступку јавне набавке и доказ, односно садржина потврде о референтним набавкама нису усклађени, јер у самом услову није захтевано да понуђач није прекршио своје обавезе из гарантног рока. У том смислу, сматрамо да је садржина услова за учешће у поступку јавне набавке релевантна, те да из Потврде, односно Обрасца 6. треба избрисати део реченице „...и да до дана издавања ове потврде није прекршио своје обавезе из гарантног рока“, да би конкурсна документација била сачињена у складу са одредбом члана 61. ЗЈН.</w:t>
      </w:r>
      <w:r w:rsidRPr="002A7E57">
        <w:rPr>
          <w:rFonts w:ascii="Arial" w:eastAsia="Calibri" w:hAnsi="Arial"/>
          <w:b/>
          <w:noProof/>
          <w:lang w:val="sr-Cyrl-RS"/>
        </w:rPr>
        <w:t xml:space="preserve">                                                    </w:t>
      </w:r>
    </w:p>
    <w:p w:rsidR="00384F95" w:rsidRPr="002A7E57" w:rsidRDefault="00384F95" w:rsidP="007207B0">
      <w:pPr>
        <w:spacing w:line="240" w:lineRule="auto"/>
        <w:rPr>
          <w:rFonts w:ascii="Arial" w:hAnsi="Arial"/>
          <w:iCs/>
          <w:lang w:val="sr-Cyrl-RS"/>
        </w:rPr>
      </w:pPr>
    </w:p>
    <w:p w:rsidR="007207B0" w:rsidRPr="002A7E57" w:rsidRDefault="007207B0" w:rsidP="007207B0">
      <w:pPr>
        <w:spacing w:line="240" w:lineRule="auto"/>
        <w:rPr>
          <w:rFonts w:ascii="Arial" w:hAnsi="Arial"/>
          <w:lang w:val="ru-RU"/>
        </w:rPr>
      </w:pPr>
      <w:r w:rsidRPr="002A7E57">
        <w:rPr>
          <w:rFonts w:ascii="Arial" w:hAnsi="Arial"/>
          <w:iCs/>
          <w:lang w:val="ru-RU"/>
        </w:rPr>
        <w:t xml:space="preserve"> </w:t>
      </w:r>
    </w:p>
    <w:p w:rsidR="000B7E79" w:rsidRPr="002A7E57" w:rsidRDefault="00823373" w:rsidP="007207B0">
      <w:pPr>
        <w:rPr>
          <w:rFonts w:ascii="Arial" w:hAnsi="Arial"/>
          <w:b/>
          <w:iCs/>
          <w:lang w:val="sr-Cyrl-RS"/>
        </w:rPr>
      </w:pPr>
      <w:r w:rsidRPr="002A7E57">
        <w:rPr>
          <w:rFonts w:ascii="Arial" w:hAnsi="Arial"/>
          <w:b/>
          <w:iCs/>
        </w:rPr>
        <w:t xml:space="preserve">ОДГОВОР </w:t>
      </w:r>
      <w:r w:rsidR="007207B0" w:rsidRPr="002A7E57">
        <w:rPr>
          <w:rFonts w:ascii="Arial" w:hAnsi="Arial"/>
          <w:b/>
          <w:iCs/>
          <w:lang w:val="en-US"/>
        </w:rPr>
        <w:t>2</w:t>
      </w:r>
      <w:r w:rsidRPr="002A7E57">
        <w:rPr>
          <w:rFonts w:ascii="Arial" w:hAnsi="Arial"/>
          <w:b/>
          <w:iCs/>
        </w:rPr>
        <w:t>:</w:t>
      </w:r>
    </w:p>
    <w:p w:rsidR="00FB0D03" w:rsidRPr="002A7E57" w:rsidRDefault="00FB0D03" w:rsidP="00FB0D03">
      <w:pPr>
        <w:rPr>
          <w:rFonts w:ascii="Arial" w:hAnsi="Arial"/>
          <w:b/>
          <w:iCs/>
          <w:lang w:val="sr-Cyrl-RS"/>
        </w:rPr>
      </w:pPr>
      <w:r w:rsidRPr="002A7E57">
        <w:rPr>
          <w:rFonts w:ascii="Arial" w:hAnsi="Arial"/>
          <w:b/>
          <w:iCs/>
          <w:lang w:val="sr-Cyrl-RS"/>
        </w:rPr>
        <w:t>Измена конкурсне документације биће објављена на Порталу јавних набавки и интернет страници наручиоца.</w:t>
      </w:r>
    </w:p>
    <w:p w:rsidR="000E6652" w:rsidRPr="002A7E57" w:rsidRDefault="000E6652" w:rsidP="000B7E79">
      <w:pPr>
        <w:spacing w:line="240" w:lineRule="auto"/>
        <w:rPr>
          <w:rFonts w:ascii="Arial" w:hAnsi="Arial"/>
          <w:iCs/>
          <w:lang w:val="sr-Cyrl-RS"/>
        </w:rPr>
      </w:pPr>
    </w:p>
    <w:p w:rsidR="00384F95" w:rsidRPr="002A7E57" w:rsidRDefault="00384F95" w:rsidP="00571BB9">
      <w:pPr>
        <w:spacing w:line="240" w:lineRule="auto"/>
        <w:jc w:val="right"/>
        <w:rPr>
          <w:rFonts w:ascii="Arial" w:hAnsi="Arial"/>
          <w:b/>
          <w:iCs/>
          <w:lang w:val="sr-Cyrl-RS"/>
        </w:rPr>
      </w:pPr>
    </w:p>
    <w:p w:rsidR="00384F95" w:rsidRPr="002A7E57" w:rsidRDefault="00384F95" w:rsidP="00571BB9">
      <w:pPr>
        <w:spacing w:line="240" w:lineRule="auto"/>
        <w:jc w:val="right"/>
        <w:rPr>
          <w:rFonts w:ascii="Arial" w:hAnsi="Arial"/>
          <w:b/>
          <w:iCs/>
          <w:lang w:val="sr-Cyrl-RS"/>
        </w:rPr>
      </w:pPr>
    </w:p>
    <w:p w:rsidR="00384F95" w:rsidRPr="002A7E57" w:rsidRDefault="00384F95" w:rsidP="00571BB9">
      <w:pPr>
        <w:spacing w:line="240" w:lineRule="auto"/>
        <w:jc w:val="right"/>
        <w:rPr>
          <w:rFonts w:ascii="Arial" w:hAnsi="Arial"/>
          <w:b/>
          <w:iCs/>
          <w:lang w:val="sr-Cyrl-RS"/>
        </w:rPr>
      </w:pPr>
    </w:p>
    <w:p w:rsidR="00823373" w:rsidRPr="002A7E57" w:rsidRDefault="00823373" w:rsidP="00571BB9">
      <w:pPr>
        <w:spacing w:line="240" w:lineRule="auto"/>
        <w:jc w:val="right"/>
        <w:rPr>
          <w:rFonts w:ascii="Arial" w:hAnsi="Arial"/>
          <w:b/>
          <w:lang w:val="sr-Cyrl-RS"/>
        </w:rPr>
      </w:pPr>
      <w:r w:rsidRPr="002A7E57">
        <w:rPr>
          <w:rFonts w:ascii="Arial" w:hAnsi="Arial"/>
          <w:b/>
          <w:iCs/>
        </w:rPr>
        <w:t xml:space="preserve">КОМИСИЈА </w:t>
      </w:r>
      <w:r w:rsidR="000B7E79" w:rsidRPr="002A7E57">
        <w:rPr>
          <w:rFonts w:ascii="Arial" w:hAnsi="Arial"/>
          <w:b/>
          <w:iCs/>
          <w:lang w:val="sr-Cyrl-RS"/>
        </w:rPr>
        <w:t xml:space="preserve">за ЈН </w:t>
      </w:r>
      <w:r w:rsidR="000E6652" w:rsidRPr="002A7E57">
        <w:rPr>
          <w:rFonts w:ascii="Arial" w:hAnsi="Arial"/>
          <w:b/>
        </w:rPr>
        <w:t>1</w:t>
      </w:r>
      <w:r w:rsidR="000E6652" w:rsidRPr="002A7E57">
        <w:rPr>
          <w:rFonts w:ascii="Arial" w:hAnsi="Arial"/>
          <w:b/>
          <w:lang w:val="sr-Cyrl-RS"/>
        </w:rPr>
        <w:t>709</w:t>
      </w:r>
      <w:r w:rsidR="000E6652" w:rsidRPr="002A7E57">
        <w:rPr>
          <w:rFonts w:ascii="Arial" w:hAnsi="Arial"/>
          <w:b/>
        </w:rPr>
        <w:t>/2017-3000/1</w:t>
      </w:r>
      <w:r w:rsidR="000E6652" w:rsidRPr="002A7E57">
        <w:rPr>
          <w:rFonts w:ascii="Arial" w:hAnsi="Arial"/>
          <w:b/>
          <w:lang w:val="sr-Cyrl-RS"/>
        </w:rPr>
        <w:t>066</w:t>
      </w:r>
      <w:r w:rsidR="000E6652" w:rsidRPr="002A7E57">
        <w:rPr>
          <w:rFonts w:ascii="Arial" w:hAnsi="Arial"/>
          <w:b/>
        </w:rPr>
        <w:t>/201</w:t>
      </w:r>
      <w:r w:rsidR="000E6652" w:rsidRPr="002A7E57">
        <w:rPr>
          <w:rFonts w:ascii="Arial" w:hAnsi="Arial"/>
          <w:b/>
          <w:lang w:val="sr-Cyrl-RS"/>
        </w:rPr>
        <w:t>7</w:t>
      </w:r>
    </w:p>
    <w:p w:rsidR="000B7E79" w:rsidRPr="002A7E57" w:rsidRDefault="000B7E79" w:rsidP="000B7E79">
      <w:pPr>
        <w:spacing w:line="240" w:lineRule="auto"/>
        <w:rPr>
          <w:rFonts w:ascii="Arial" w:hAnsi="Arial"/>
          <w:iCs/>
          <w:lang w:val="sr-Cyrl-RS"/>
        </w:rPr>
      </w:pPr>
    </w:p>
    <w:p w:rsidR="007207B0" w:rsidRPr="002A7E57" w:rsidRDefault="007207B0" w:rsidP="007207B0">
      <w:pPr>
        <w:spacing w:line="240" w:lineRule="auto"/>
        <w:rPr>
          <w:rFonts w:ascii="Arial" w:eastAsia="TimesNewRomanPS-BoldMT" w:hAnsi="Arial"/>
          <w:bCs/>
          <w:lang w:val="sr-Cyrl-RS" w:eastAsia="sr-Latn-CS"/>
        </w:rPr>
      </w:pPr>
    </w:p>
    <w:p w:rsidR="000F0A61" w:rsidRPr="002A7E57" w:rsidRDefault="00823373" w:rsidP="00ED75CE">
      <w:pPr>
        <w:tabs>
          <w:tab w:val="left" w:pos="6308"/>
          <w:tab w:val="right" w:pos="9904"/>
        </w:tabs>
        <w:spacing w:line="240" w:lineRule="auto"/>
        <w:jc w:val="left"/>
        <w:rPr>
          <w:rFonts w:ascii="Arial" w:hAnsi="Arial"/>
          <w:iCs/>
        </w:rPr>
      </w:pP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lang w:val="en-US"/>
        </w:rPr>
        <w:tab/>
        <w:t xml:space="preserve">          </w:t>
      </w:r>
    </w:p>
    <w:sectPr w:rsidR="000F0A61" w:rsidRPr="002A7E57"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7F" w:rsidRDefault="00AE647F" w:rsidP="004A61DF">
      <w:pPr>
        <w:spacing w:line="240" w:lineRule="auto"/>
      </w:pPr>
      <w:r>
        <w:separator/>
      </w:r>
    </w:p>
  </w:endnote>
  <w:endnote w:type="continuationSeparator" w:id="0">
    <w:p w:rsidR="00AE647F" w:rsidRDefault="00AE647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41DD8">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41DD8">
      <w:rPr>
        <w:rFonts w:ascii="Calibri" w:hAnsi="Calibri"/>
        <w:bCs/>
        <w:i/>
        <w:noProof/>
        <w:sz w:val="16"/>
        <w:szCs w:val="16"/>
      </w:rPr>
      <w:t>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7F" w:rsidRDefault="00AE647F" w:rsidP="004A61DF">
      <w:pPr>
        <w:spacing w:line="240" w:lineRule="auto"/>
      </w:pPr>
      <w:r>
        <w:separator/>
      </w:r>
    </w:p>
  </w:footnote>
  <w:footnote w:type="continuationSeparator" w:id="0">
    <w:p w:rsidR="00AE647F" w:rsidRDefault="00AE647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4B77CB43" wp14:editId="4DBDA38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41DD8">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41DD8">
            <w:rPr>
              <w:b/>
              <w:noProof/>
            </w:rPr>
            <w:t>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BF66EA5"/>
    <w:multiLevelType w:val="hybridMultilevel"/>
    <w:tmpl w:val="97E47D1E"/>
    <w:lvl w:ilvl="0" w:tplc="4F3AE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399"/>
    <w:rsid w:val="000603F5"/>
    <w:rsid w:val="000775D3"/>
    <w:rsid w:val="0008435C"/>
    <w:rsid w:val="000922A0"/>
    <w:rsid w:val="000A5EE8"/>
    <w:rsid w:val="000B7E79"/>
    <w:rsid w:val="000C0A52"/>
    <w:rsid w:val="000C3D4F"/>
    <w:rsid w:val="000C6C05"/>
    <w:rsid w:val="000E6652"/>
    <w:rsid w:val="000F0A61"/>
    <w:rsid w:val="00120A8B"/>
    <w:rsid w:val="00121ECF"/>
    <w:rsid w:val="00131177"/>
    <w:rsid w:val="00154E5B"/>
    <w:rsid w:val="00161DB4"/>
    <w:rsid w:val="00170BB3"/>
    <w:rsid w:val="001749B3"/>
    <w:rsid w:val="00180B4D"/>
    <w:rsid w:val="001C4CAD"/>
    <w:rsid w:val="001D74C3"/>
    <w:rsid w:val="001E2865"/>
    <w:rsid w:val="001F070C"/>
    <w:rsid w:val="001F1486"/>
    <w:rsid w:val="001F3D31"/>
    <w:rsid w:val="001F7AFB"/>
    <w:rsid w:val="00201791"/>
    <w:rsid w:val="00201AC6"/>
    <w:rsid w:val="0020564A"/>
    <w:rsid w:val="002070F8"/>
    <w:rsid w:val="00217E8C"/>
    <w:rsid w:val="00222755"/>
    <w:rsid w:val="002A2D9F"/>
    <w:rsid w:val="002A7E57"/>
    <w:rsid w:val="002B182D"/>
    <w:rsid w:val="002B4659"/>
    <w:rsid w:val="002C2407"/>
    <w:rsid w:val="00311D82"/>
    <w:rsid w:val="0031682F"/>
    <w:rsid w:val="00320005"/>
    <w:rsid w:val="00326B1D"/>
    <w:rsid w:val="003317EC"/>
    <w:rsid w:val="00341DD8"/>
    <w:rsid w:val="003640D5"/>
    <w:rsid w:val="00384F95"/>
    <w:rsid w:val="003D6461"/>
    <w:rsid w:val="003E2D21"/>
    <w:rsid w:val="003F2BEA"/>
    <w:rsid w:val="003F320E"/>
    <w:rsid w:val="004052DE"/>
    <w:rsid w:val="00422CBF"/>
    <w:rsid w:val="00423F05"/>
    <w:rsid w:val="00426A1B"/>
    <w:rsid w:val="00437EF7"/>
    <w:rsid w:val="00443590"/>
    <w:rsid w:val="00444102"/>
    <w:rsid w:val="00446AB6"/>
    <w:rsid w:val="00460E69"/>
    <w:rsid w:val="004612FD"/>
    <w:rsid w:val="0046231D"/>
    <w:rsid w:val="00471287"/>
    <w:rsid w:val="00483E4E"/>
    <w:rsid w:val="0048587D"/>
    <w:rsid w:val="004A61DF"/>
    <w:rsid w:val="004B20A0"/>
    <w:rsid w:val="004B4668"/>
    <w:rsid w:val="004C1CA3"/>
    <w:rsid w:val="0051101B"/>
    <w:rsid w:val="00532302"/>
    <w:rsid w:val="005478BD"/>
    <w:rsid w:val="00551B51"/>
    <w:rsid w:val="005649E0"/>
    <w:rsid w:val="00571BB9"/>
    <w:rsid w:val="005B59C7"/>
    <w:rsid w:val="005C21B7"/>
    <w:rsid w:val="005D014C"/>
    <w:rsid w:val="005D020E"/>
    <w:rsid w:val="005D342C"/>
    <w:rsid w:val="005E4BB0"/>
    <w:rsid w:val="005F421D"/>
    <w:rsid w:val="00603D2C"/>
    <w:rsid w:val="006078A2"/>
    <w:rsid w:val="00617F52"/>
    <w:rsid w:val="0062749F"/>
    <w:rsid w:val="00627566"/>
    <w:rsid w:val="006306AD"/>
    <w:rsid w:val="00681FE6"/>
    <w:rsid w:val="006A2AE7"/>
    <w:rsid w:val="006A7204"/>
    <w:rsid w:val="006B1D8A"/>
    <w:rsid w:val="006B38CE"/>
    <w:rsid w:val="00714B24"/>
    <w:rsid w:val="007207B0"/>
    <w:rsid w:val="00753BB6"/>
    <w:rsid w:val="007540FC"/>
    <w:rsid w:val="00754F8B"/>
    <w:rsid w:val="0075513B"/>
    <w:rsid w:val="007A1FD4"/>
    <w:rsid w:val="007A585D"/>
    <w:rsid w:val="007F61D9"/>
    <w:rsid w:val="008031F2"/>
    <w:rsid w:val="00812250"/>
    <w:rsid w:val="00823373"/>
    <w:rsid w:val="00833F9A"/>
    <w:rsid w:val="00866BB4"/>
    <w:rsid w:val="00876270"/>
    <w:rsid w:val="00880B15"/>
    <w:rsid w:val="008A3599"/>
    <w:rsid w:val="008A4FE4"/>
    <w:rsid w:val="008B7577"/>
    <w:rsid w:val="008C28EE"/>
    <w:rsid w:val="008D056C"/>
    <w:rsid w:val="008D1683"/>
    <w:rsid w:val="008D4F1C"/>
    <w:rsid w:val="008E65CF"/>
    <w:rsid w:val="00905C03"/>
    <w:rsid w:val="00911D08"/>
    <w:rsid w:val="00950F69"/>
    <w:rsid w:val="009558C4"/>
    <w:rsid w:val="00955C04"/>
    <w:rsid w:val="00975013"/>
    <w:rsid w:val="00990A0E"/>
    <w:rsid w:val="009E1CC6"/>
    <w:rsid w:val="009E6CE5"/>
    <w:rsid w:val="009F2E26"/>
    <w:rsid w:val="009F4C4B"/>
    <w:rsid w:val="00A02CAA"/>
    <w:rsid w:val="00A04689"/>
    <w:rsid w:val="00A20DDE"/>
    <w:rsid w:val="00A42868"/>
    <w:rsid w:val="00A464E9"/>
    <w:rsid w:val="00A51CB8"/>
    <w:rsid w:val="00A67483"/>
    <w:rsid w:val="00A70CB7"/>
    <w:rsid w:val="00A9334D"/>
    <w:rsid w:val="00A9548A"/>
    <w:rsid w:val="00AA54F2"/>
    <w:rsid w:val="00AB3121"/>
    <w:rsid w:val="00AB5D8D"/>
    <w:rsid w:val="00AE647F"/>
    <w:rsid w:val="00AE6C7C"/>
    <w:rsid w:val="00AF4A3E"/>
    <w:rsid w:val="00AF4BC3"/>
    <w:rsid w:val="00B06D1D"/>
    <w:rsid w:val="00B163E4"/>
    <w:rsid w:val="00B30C16"/>
    <w:rsid w:val="00B30CD4"/>
    <w:rsid w:val="00B43364"/>
    <w:rsid w:val="00B657F4"/>
    <w:rsid w:val="00B75FD0"/>
    <w:rsid w:val="00BB5173"/>
    <w:rsid w:val="00C04B2D"/>
    <w:rsid w:val="00C16405"/>
    <w:rsid w:val="00C200E0"/>
    <w:rsid w:val="00C32ABE"/>
    <w:rsid w:val="00C3412D"/>
    <w:rsid w:val="00C34240"/>
    <w:rsid w:val="00C37DE6"/>
    <w:rsid w:val="00C4111F"/>
    <w:rsid w:val="00C45350"/>
    <w:rsid w:val="00C4785E"/>
    <w:rsid w:val="00C56384"/>
    <w:rsid w:val="00C70428"/>
    <w:rsid w:val="00C74EB8"/>
    <w:rsid w:val="00C807D3"/>
    <w:rsid w:val="00C80B2B"/>
    <w:rsid w:val="00C87CF3"/>
    <w:rsid w:val="00C933AD"/>
    <w:rsid w:val="00CC7442"/>
    <w:rsid w:val="00CE5429"/>
    <w:rsid w:val="00CF2A55"/>
    <w:rsid w:val="00CF2CAE"/>
    <w:rsid w:val="00D109F3"/>
    <w:rsid w:val="00D12CB8"/>
    <w:rsid w:val="00D305E2"/>
    <w:rsid w:val="00D376ED"/>
    <w:rsid w:val="00D66DB7"/>
    <w:rsid w:val="00D70433"/>
    <w:rsid w:val="00D97D88"/>
    <w:rsid w:val="00DB228F"/>
    <w:rsid w:val="00DB25EE"/>
    <w:rsid w:val="00DD31A0"/>
    <w:rsid w:val="00E0452A"/>
    <w:rsid w:val="00E173B4"/>
    <w:rsid w:val="00E323DC"/>
    <w:rsid w:val="00E450F3"/>
    <w:rsid w:val="00E572F6"/>
    <w:rsid w:val="00E61B0F"/>
    <w:rsid w:val="00E6593D"/>
    <w:rsid w:val="00E6605F"/>
    <w:rsid w:val="00E67599"/>
    <w:rsid w:val="00E912CB"/>
    <w:rsid w:val="00EB53F8"/>
    <w:rsid w:val="00EC2442"/>
    <w:rsid w:val="00EC4E40"/>
    <w:rsid w:val="00ED75CE"/>
    <w:rsid w:val="00F33CFB"/>
    <w:rsid w:val="00F514F8"/>
    <w:rsid w:val="00F52FDD"/>
    <w:rsid w:val="00F75895"/>
    <w:rsid w:val="00FB0D03"/>
    <w:rsid w:val="00FC01E0"/>
    <w:rsid w:val="00FC33C2"/>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968280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38DC"/>
    <w:rsid w:val="00084668"/>
    <w:rsid w:val="00102C0B"/>
    <w:rsid w:val="00190F77"/>
    <w:rsid w:val="00192BDA"/>
    <w:rsid w:val="003D5C10"/>
    <w:rsid w:val="004A2259"/>
    <w:rsid w:val="00512236"/>
    <w:rsid w:val="00782E12"/>
    <w:rsid w:val="007B151F"/>
    <w:rsid w:val="007F739F"/>
    <w:rsid w:val="00862181"/>
    <w:rsid w:val="008C5616"/>
    <w:rsid w:val="00940F5F"/>
    <w:rsid w:val="009A25CB"/>
    <w:rsid w:val="009F2B6F"/>
    <w:rsid w:val="00AD76B3"/>
    <w:rsid w:val="00D6390D"/>
    <w:rsid w:val="00D742BD"/>
    <w:rsid w:val="00F334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9</cp:revision>
  <cp:lastPrinted>2017-12-28T05:42:00Z</cp:lastPrinted>
  <dcterms:created xsi:type="dcterms:W3CDTF">2017-12-27T10:04:00Z</dcterms:created>
  <dcterms:modified xsi:type="dcterms:W3CDTF">2017-12-28T06:02:00Z</dcterms:modified>
</cp:coreProperties>
</file>