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212F1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B212F1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ЈАВНО</w:t>
      </w:r>
      <w:r w:rsidR="00C6690C" w:rsidRPr="00295D8C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 w:eastAsia="en-US"/>
        </w:rPr>
        <w:t>ПРЕДУЗЕЋЕ</w:t>
      </w:r>
      <w:r w:rsidR="00C6690C" w:rsidRPr="00295D8C">
        <w:rPr>
          <w:rFonts w:ascii="Arial" w:hAnsi="Arial" w:cs="Arial"/>
          <w:b/>
          <w:sz w:val="22"/>
          <w:szCs w:val="22"/>
          <w:lang w:val="ru-RU" w:eastAsia="en-US"/>
        </w:rPr>
        <w:t xml:space="preserve"> „</w:t>
      </w:r>
      <w:r>
        <w:rPr>
          <w:rFonts w:ascii="Arial" w:hAnsi="Arial" w:cs="Arial"/>
          <w:b/>
          <w:sz w:val="22"/>
          <w:szCs w:val="22"/>
          <w:lang w:val="ru-RU" w:eastAsia="en-US"/>
        </w:rPr>
        <w:t>ЕЛЕКТРОПРИВРЕДА</w:t>
      </w:r>
      <w:r w:rsidR="00C6690C" w:rsidRPr="00295D8C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 w:eastAsia="en-US"/>
        </w:rPr>
        <w:t>СРБИЈЕ</w:t>
      </w:r>
      <w:r w:rsidR="00C6690C" w:rsidRPr="00295D8C">
        <w:rPr>
          <w:rFonts w:ascii="Arial" w:hAnsi="Arial" w:cs="Arial"/>
          <w:b/>
          <w:sz w:val="22"/>
          <w:szCs w:val="22"/>
          <w:lang w:eastAsia="en-US"/>
        </w:rPr>
        <w:t xml:space="preserve">“ </w:t>
      </w:r>
      <w:r>
        <w:rPr>
          <w:rFonts w:ascii="Arial" w:hAnsi="Arial" w:cs="Arial"/>
          <w:b/>
          <w:sz w:val="22"/>
          <w:szCs w:val="22"/>
          <w:lang w:eastAsia="en-US"/>
        </w:rPr>
        <w:t>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B212F1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ЕЛЕКТРОПРИВРЕДА</w:t>
      </w:r>
      <w:r w:rsidR="00C6690C"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СРБИЈЕ</w:t>
      </w:r>
      <w:r w:rsidR="00C6690C"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ЈП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  <w:lang w:eastAsia="en-US"/>
        </w:rPr>
        <w:t>БЕОГРАД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B212F1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>Улица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Богољуба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Уро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sz w:val="22"/>
          <w:szCs w:val="22"/>
          <w:lang w:val="sr-Cyrl-RS" w:eastAsia="en-US"/>
        </w:rPr>
        <w:t>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</w:t>
      </w:r>
      <w:r>
        <w:rPr>
          <w:rFonts w:ascii="Arial" w:hAnsi="Arial" w:cs="Arial"/>
          <w:sz w:val="22"/>
          <w:szCs w:val="22"/>
          <w:lang w:val="sr-Cyrl-RS" w:eastAsia="en-US"/>
        </w:rPr>
        <w:t>Црног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66BAE" w:rsidRDefault="00B212F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466B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212F1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КОНКУРСНЕ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66BAE" w:rsidRDefault="00B212F1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ЈАВНУ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НАБАВКУ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УСЛУГА</w:t>
      </w:r>
      <w:r w:rsidR="00466BAE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66BAE">
        <w:rPr>
          <w:rFonts w:ascii="Arial" w:hAnsi="Arial" w:cs="Arial"/>
          <w:sz w:val="22"/>
          <w:szCs w:val="22"/>
          <w:lang w:val="ru-RU"/>
        </w:rPr>
        <w:t xml:space="preserve"> </w:t>
      </w:r>
      <w:r w:rsidR="00B212F1">
        <w:rPr>
          <w:rFonts w:ascii="Arial" w:hAnsi="Arial"/>
        </w:rPr>
        <w:t>Израда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Процене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ризика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у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за</w:t>
      </w:r>
      <w:r w:rsidR="00466BAE" w:rsidRPr="00AB5573">
        <w:rPr>
          <w:rFonts w:ascii="Arial" w:hAnsi="Arial"/>
          <w:lang w:val="sr-Cyrl-RS"/>
        </w:rPr>
        <w:t>ш</w:t>
      </w:r>
      <w:r w:rsidR="00B212F1">
        <w:rPr>
          <w:rFonts w:ascii="Arial" w:hAnsi="Arial"/>
        </w:rPr>
        <w:t>тити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лица</w:t>
      </w:r>
      <w:r w:rsidR="00466BAE" w:rsidRPr="00AB5573">
        <w:rPr>
          <w:rFonts w:ascii="Arial" w:hAnsi="Arial"/>
        </w:rPr>
        <w:t xml:space="preserve">, </w:t>
      </w:r>
      <w:r w:rsidR="00B212F1">
        <w:rPr>
          <w:rFonts w:ascii="Arial" w:hAnsi="Arial"/>
        </w:rPr>
        <w:t>имовине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и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пословања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ТЕНТ</w:t>
      </w:r>
      <w:r w:rsidR="00466BAE" w:rsidRPr="00AB5573">
        <w:rPr>
          <w:rFonts w:ascii="Arial" w:hAnsi="Arial"/>
        </w:rPr>
        <w:t xml:space="preserve">, </w:t>
      </w:r>
      <w:r w:rsidR="00B212F1">
        <w:rPr>
          <w:rFonts w:ascii="Arial" w:hAnsi="Arial"/>
        </w:rPr>
        <w:t>Процене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угрожености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од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елементарних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непогода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и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других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несрећа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и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Плана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за</w:t>
      </w:r>
      <w:r w:rsidR="00466BAE" w:rsidRPr="00AB5573">
        <w:rPr>
          <w:rFonts w:ascii="Arial" w:hAnsi="Arial"/>
        </w:rPr>
        <w:t>ш</w:t>
      </w:r>
      <w:r w:rsidR="00B212F1">
        <w:rPr>
          <w:rFonts w:ascii="Arial" w:hAnsi="Arial"/>
        </w:rPr>
        <w:t>тите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и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спасавања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са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Планом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за</w:t>
      </w:r>
      <w:r w:rsidR="00466BAE" w:rsidRPr="00AB5573">
        <w:rPr>
          <w:rFonts w:ascii="Arial" w:hAnsi="Arial"/>
        </w:rPr>
        <w:t>ш</w:t>
      </w:r>
      <w:r w:rsidR="00B212F1">
        <w:rPr>
          <w:rFonts w:ascii="Arial" w:hAnsi="Arial"/>
        </w:rPr>
        <w:t>тите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од</w:t>
      </w:r>
      <w:r w:rsidR="00466BAE" w:rsidRPr="00AB5573">
        <w:rPr>
          <w:rFonts w:ascii="Arial" w:hAnsi="Arial"/>
        </w:rPr>
        <w:t xml:space="preserve"> </w:t>
      </w:r>
      <w:r w:rsidR="00B212F1">
        <w:rPr>
          <w:rFonts w:ascii="Arial" w:hAnsi="Arial"/>
        </w:rPr>
        <w:t>удеса</w:t>
      </w:r>
      <w:r w:rsidR="00466BAE" w:rsidRPr="00AB5573">
        <w:rPr>
          <w:rFonts w:ascii="Arial" w:hAnsi="Arial"/>
        </w:rPr>
        <w:t xml:space="preserve"> - </w:t>
      </w:r>
      <w:r w:rsidR="00B212F1">
        <w:rPr>
          <w:rFonts w:ascii="Arial" w:hAnsi="Arial"/>
        </w:rPr>
        <w:t>СОиО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B212F1">
        <w:rPr>
          <w:rFonts w:ascii="Arial" w:hAnsi="Arial" w:cs="Arial"/>
          <w:sz w:val="22"/>
          <w:szCs w:val="22"/>
        </w:rPr>
        <w:t>У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212F1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212F1">
        <w:rPr>
          <w:rFonts w:ascii="Arial" w:hAnsi="Arial" w:cs="Arial"/>
          <w:sz w:val="22"/>
          <w:szCs w:val="22"/>
        </w:rPr>
        <w:t>ПОСТУПКУ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66BAE" w:rsidRDefault="00B212F1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ЈАВНА</w:t>
      </w:r>
      <w:r w:rsidR="00C6690C"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НАБАВКА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466BAE" w:rsidRPr="00466BAE">
        <w:rPr>
          <w:rFonts w:ascii="Arial" w:hAnsi="Arial"/>
          <w:b/>
          <w:sz w:val="22"/>
          <w:szCs w:val="22"/>
        </w:rPr>
        <w:t>3000/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0017</w:t>
      </w:r>
      <w:r w:rsidR="00466BAE" w:rsidRPr="00466BAE">
        <w:rPr>
          <w:rFonts w:ascii="Arial" w:hAnsi="Arial"/>
          <w:b/>
          <w:sz w:val="22"/>
          <w:szCs w:val="22"/>
        </w:rPr>
        <w:t>/2017(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1044</w:t>
      </w:r>
      <w:r w:rsidR="00466BAE" w:rsidRPr="00466BAE">
        <w:rPr>
          <w:rFonts w:ascii="Arial" w:hAnsi="Arial"/>
          <w:b/>
          <w:sz w:val="22"/>
          <w:szCs w:val="22"/>
        </w:rPr>
        <w:t>/2017</w:t>
      </w:r>
      <w:r w:rsidR="00466BAE" w:rsidRPr="00466BAE">
        <w:rPr>
          <w:rFonts w:ascii="Arial" w:hAnsi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F742A" w:rsidRPr="00295D8C" w:rsidRDefault="005F742A" w:rsidP="005F74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</w:t>
      </w:r>
      <w:r w:rsidR="00B212F1">
        <w:rPr>
          <w:rFonts w:ascii="Arial" w:hAnsi="Arial" w:cs="Arial"/>
          <w:sz w:val="22"/>
          <w:szCs w:val="22"/>
        </w:rPr>
        <w:t>број</w:t>
      </w:r>
      <w:r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105-</w:t>
      </w:r>
      <w:r w:rsidR="00B212F1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>.03.01-29844/</w:t>
      </w:r>
      <w:r w:rsidR="00202155"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202155">
        <w:rPr>
          <w:rFonts w:ascii="Arial" w:hAnsi="Arial" w:cs="Arial"/>
          <w:sz w:val="22"/>
          <w:szCs w:val="22"/>
          <w:lang w:val="sr-Latn-RS"/>
        </w:rPr>
        <w:t>23.01.2018.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212F1">
        <w:rPr>
          <w:rFonts w:ascii="Arial" w:hAnsi="Arial" w:cs="Arial"/>
          <w:sz w:val="22"/>
          <w:szCs w:val="22"/>
        </w:rPr>
        <w:t>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5F742A" w:rsidRPr="00295D8C" w:rsidRDefault="005F742A" w:rsidP="005F742A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5F742A">
      <w:pPr>
        <w:pStyle w:val="BodyText"/>
        <w:tabs>
          <w:tab w:val="left" w:pos="1890"/>
        </w:tabs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B212F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На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основу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члана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6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kern w:val="2"/>
          <w:sz w:val="22"/>
          <w:szCs w:val="22"/>
        </w:rPr>
        <w:t>став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5. </w:t>
      </w:r>
      <w:r>
        <w:rPr>
          <w:rFonts w:ascii="Arial" w:hAnsi="Arial" w:cs="Arial"/>
          <w:color w:val="000000"/>
          <w:kern w:val="2"/>
          <w:sz w:val="22"/>
          <w:szCs w:val="22"/>
        </w:rPr>
        <w:t>и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члана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54. </w:t>
      </w:r>
      <w:r>
        <w:rPr>
          <w:rFonts w:ascii="Arial" w:hAnsi="Arial" w:cs="Arial"/>
          <w:color w:val="000000"/>
          <w:kern w:val="2"/>
          <w:sz w:val="22"/>
          <w:szCs w:val="22"/>
        </w:rPr>
        <w:t>Закона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о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јавним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набавкама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(„</w:t>
      </w:r>
      <w:r>
        <w:rPr>
          <w:rFonts w:ascii="Arial" w:hAnsi="Arial" w:cs="Arial"/>
          <w:color w:val="000000"/>
          <w:kern w:val="2"/>
          <w:sz w:val="22"/>
          <w:szCs w:val="22"/>
        </w:rPr>
        <w:t>Сл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kern w:val="2"/>
          <w:sz w:val="22"/>
          <w:szCs w:val="22"/>
        </w:rPr>
        <w:t>гласник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РС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”, </w:t>
      </w:r>
      <w:r>
        <w:rPr>
          <w:rFonts w:ascii="Arial" w:hAnsi="Arial" w:cs="Arial"/>
          <w:color w:val="000000"/>
          <w:kern w:val="2"/>
          <w:sz w:val="22"/>
          <w:szCs w:val="22"/>
        </w:rPr>
        <w:t>бр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124/12, 14/15 </w:t>
      </w:r>
      <w:r>
        <w:rPr>
          <w:rFonts w:ascii="Arial" w:hAnsi="Arial" w:cs="Arial"/>
          <w:color w:val="000000"/>
          <w:kern w:val="2"/>
          <w:sz w:val="22"/>
          <w:szCs w:val="22"/>
        </w:rPr>
        <w:t>и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68/15)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Комисија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је</w:t>
      </w:r>
      <w:r w:rsidR="00C6690C"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сачинила</w:t>
      </w:r>
      <w:r w:rsidR="00C6690C"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776739" w:rsidP="00776739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</w:t>
      </w:r>
      <w:r w:rsidR="00B212F1"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C6690C" w:rsidRPr="00466BAE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B212F1">
        <w:rPr>
          <w:rFonts w:ascii="Arial" w:hAnsi="Arial" w:cs="Arial"/>
          <w:b/>
          <w:spacing w:val="80"/>
          <w:sz w:val="22"/>
          <w:szCs w:val="22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B212F1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КОНКУРСНЕ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 </w:t>
      </w:r>
      <w:r>
        <w:rPr>
          <w:rFonts w:ascii="Arial" w:hAnsi="Arial" w:cs="Arial"/>
          <w:b/>
          <w:spacing w:val="80"/>
          <w:sz w:val="22"/>
          <w:szCs w:val="22"/>
        </w:rPr>
        <w:t>ДОКУМЕНТАЦИЈЕ</w:t>
      </w:r>
    </w:p>
    <w:p w:rsidR="00466BAE" w:rsidRPr="00466BAE" w:rsidRDefault="00B212F1" w:rsidP="00466BA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јавну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набавку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66BAE" w:rsidRPr="00466BAE">
        <w:rPr>
          <w:rFonts w:ascii="Arial" w:hAnsi="Arial"/>
          <w:b/>
          <w:sz w:val="22"/>
          <w:szCs w:val="22"/>
        </w:rPr>
        <w:t>3000/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0017</w:t>
      </w:r>
      <w:r w:rsidR="00466BAE" w:rsidRPr="00466BAE">
        <w:rPr>
          <w:rFonts w:ascii="Arial" w:hAnsi="Arial"/>
          <w:b/>
          <w:sz w:val="22"/>
          <w:szCs w:val="22"/>
        </w:rPr>
        <w:t>/2017(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1044</w:t>
      </w:r>
      <w:r w:rsidR="00466BAE" w:rsidRPr="00466BAE">
        <w:rPr>
          <w:rFonts w:ascii="Arial" w:hAnsi="Arial"/>
          <w:b/>
          <w:sz w:val="22"/>
          <w:szCs w:val="22"/>
        </w:rPr>
        <w:t>/2017</w:t>
      </w:r>
      <w:r w:rsidR="00466BAE" w:rsidRPr="00466BAE">
        <w:rPr>
          <w:rFonts w:ascii="Arial" w:hAnsi="Arial"/>
          <w:b/>
          <w:sz w:val="22"/>
          <w:szCs w:val="22"/>
          <w:lang w:val="sr-Cyrl-RS"/>
        </w:rPr>
        <w:t>)</w:t>
      </w:r>
    </w:p>
    <w:p w:rsidR="00C6690C" w:rsidRPr="004D3283" w:rsidRDefault="004D3283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D3283" w:rsidRDefault="00B212F1" w:rsidP="004073D9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sz w:val="22"/>
          <w:szCs w:val="22"/>
          <w:u w:val="single"/>
          <w:lang w:val="sr-Cyrl-RS"/>
        </w:rPr>
        <w:t>У</w:t>
      </w:r>
      <w:r w:rsidR="004D3283" w:rsidRPr="004D328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оквиру</w:t>
      </w:r>
      <w:r w:rsidR="004D3283" w:rsidRPr="004D328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4D328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тачке</w:t>
      </w:r>
      <w:r w:rsidR="005F742A">
        <w:rPr>
          <w:rFonts w:ascii="Arial" w:hAnsi="Arial" w:cs="Arial"/>
          <w:b/>
          <w:sz w:val="22"/>
          <w:szCs w:val="22"/>
          <w:u w:val="single"/>
          <w:lang w:val="sr-Cyrl-RS"/>
        </w:rPr>
        <w:t>:</w:t>
      </w:r>
    </w:p>
    <w:p w:rsidR="004D3283" w:rsidRDefault="004D32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D3283" w:rsidRPr="004D3283" w:rsidRDefault="004D3283" w:rsidP="004073D9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D328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3 </w:t>
      </w:r>
      <w:r w:rsidR="00B212F1">
        <w:rPr>
          <w:rFonts w:ascii="Arial" w:hAnsi="Arial" w:cs="Arial"/>
          <w:b/>
          <w:sz w:val="22"/>
          <w:szCs w:val="22"/>
          <w:u w:val="single"/>
          <w:lang w:val="sr-Cyrl-RS"/>
        </w:rPr>
        <w:t>ТЕХНИЧКА</w:t>
      </w:r>
      <w:r w:rsidRPr="004D328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B212F1">
        <w:rPr>
          <w:rFonts w:ascii="Arial" w:hAnsi="Arial" w:cs="Arial"/>
          <w:b/>
          <w:sz w:val="22"/>
          <w:szCs w:val="22"/>
          <w:u w:val="single"/>
          <w:lang w:val="sr-Cyrl-RS"/>
        </w:rPr>
        <w:t>СПЕЦИФИКАЦИЈА</w:t>
      </w:r>
    </w:p>
    <w:p w:rsidR="00C6690C" w:rsidRPr="00295D8C" w:rsidRDefault="00C6690C" w:rsidP="00466BAE">
      <w:pPr>
        <w:rPr>
          <w:rFonts w:ascii="Arial" w:hAnsi="Arial" w:cs="Arial"/>
          <w:sz w:val="22"/>
          <w:szCs w:val="22"/>
        </w:rPr>
      </w:pPr>
    </w:p>
    <w:p w:rsidR="00466BAE" w:rsidRPr="004D3283" w:rsidRDefault="00B212F1" w:rsidP="00466BAE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Уместо</w:t>
      </w:r>
      <w:r w:rsidR="004D3283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4D3283" w:rsidRDefault="004D3283" w:rsidP="00466BAE">
      <w:pPr>
        <w:rPr>
          <w:rFonts w:ascii="Arial" w:hAnsi="Arial" w:cs="Arial"/>
          <w:b/>
          <w:sz w:val="22"/>
          <w:szCs w:val="22"/>
        </w:rPr>
      </w:pPr>
    </w:p>
    <w:p w:rsidR="004D3283" w:rsidRPr="00700BC7" w:rsidRDefault="00B212F1" w:rsidP="004D3283">
      <w:pPr>
        <w:numPr>
          <w:ilvl w:val="0"/>
          <w:numId w:val="1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</w:rPr>
        <w:t>ТЕХНИЧКА</w:t>
      </w:r>
      <w:r w:rsidR="005F742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СПЕЦИФИКАЦИЈА</w:t>
      </w:r>
    </w:p>
    <w:p w:rsidR="004D3283" w:rsidRPr="00700BC7" w:rsidRDefault="004D3283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0BC7">
        <w:rPr>
          <w:rFonts w:ascii="Arial" w:hAnsi="Arial"/>
          <w:b/>
          <w:sz w:val="22"/>
          <w:szCs w:val="22"/>
          <w:lang w:val="sr-Cyrl-RS"/>
        </w:rPr>
        <w:t xml:space="preserve">3.1 </w:t>
      </w:r>
      <w:r w:rsidR="00B212F1">
        <w:rPr>
          <w:rFonts w:ascii="Arial" w:hAnsi="Arial" w:cs="Arial"/>
          <w:sz w:val="22"/>
          <w:szCs w:val="22"/>
          <w:lang w:val="sr-Cyrl-RS" w:eastAsia="en-US"/>
        </w:rPr>
        <w:t>ОПШТИ</w:t>
      </w:r>
      <w:r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212F1">
        <w:rPr>
          <w:rFonts w:ascii="Arial" w:hAnsi="Arial" w:cs="Arial"/>
          <w:sz w:val="22"/>
          <w:szCs w:val="22"/>
          <w:lang w:val="sr-Cyrl-RS" w:eastAsia="en-US"/>
        </w:rPr>
        <w:t>ПОДАЦИ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4D3283" w:rsidRPr="00700BC7" w:rsidRDefault="00B212F1" w:rsidP="004D3283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Јавно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предузеће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„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Електропривреда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Србије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“,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Београд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;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„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Термоелектране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Никола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Тесла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Београд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Обреновац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улица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Богољуба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Уро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евића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Црног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44 (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даљем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тексту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Предмет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набавке</w:t>
      </w:r>
    </w:p>
    <w:p w:rsidR="004D3283" w:rsidRPr="00700BC7" w:rsidRDefault="00B212F1" w:rsidP="004D3283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Израда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ризика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лица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имовине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пословања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угрожености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елементраних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непогода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других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несрећа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спасавања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Планом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удеса</w:t>
      </w:r>
    </w:p>
    <w:p w:rsidR="004D3283" w:rsidRPr="00700BC7" w:rsidRDefault="00B212F1" w:rsidP="004D3283">
      <w:pPr>
        <w:spacing w:before="120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Циљ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: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Идентификација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потенцијалних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оцена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дефинисање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потребних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снага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средстава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превентивних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као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титу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лица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иовине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пословања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.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Предмет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јавне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набавке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ће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спроводи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ИИИ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фазе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4D3283" w:rsidRPr="00700BC7" w:rsidRDefault="00B212F1" w:rsidP="004D3283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Прва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фаза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ризика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лица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имовине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пословања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4D3283" w:rsidRPr="00700BC7" w:rsidRDefault="00B212F1" w:rsidP="004D3283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Друга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фаза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угрожености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елементраних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непогода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других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несрећа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4D3283" w:rsidRPr="00700BC7" w:rsidRDefault="00B212F1" w:rsidP="004D3283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Трећа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фаза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спасавања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Планом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удеса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УВОД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Огранку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„</w:t>
      </w:r>
      <w:r>
        <w:rPr>
          <w:rFonts w:ascii="Arial" w:hAnsi="Arial" w:cs="Arial"/>
          <w:sz w:val="22"/>
          <w:szCs w:val="22"/>
          <w:lang w:val="sr-Cyrl-RS" w:eastAsia="en-US"/>
        </w:rPr>
        <w:t>Термоелектране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Никола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Тесла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“, </w:t>
      </w:r>
      <w:r>
        <w:rPr>
          <w:rFonts w:ascii="Arial" w:hAnsi="Arial" w:cs="Arial"/>
          <w:sz w:val="22"/>
          <w:szCs w:val="22"/>
          <w:lang w:val="sr-Cyrl-RS" w:eastAsia="en-US"/>
        </w:rPr>
        <w:t>Београд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даљем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тексту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) </w:t>
      </w:r>
      <w:r>
        <w:rPr>
          <w:rFonts w:ascii="Arial" w:hAnsi="Arial" w:cs="Arial"/>
          <w:sz w:val="22"/>
          <w:szCs w:val="22"/>
          <w:lang w:val="sr-Cyrl-RS" w:eastAsia="en-US"/>
        </w:rPr>
        <w:t>налази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највећа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концентрација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електроенергетских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капацитета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Електропривреде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Србије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инсталисаном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снагом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3.285 </w:t>
      </w:r>
      <w:r>
        <w:rPr>
          <w:rFonts w:ascii="Arial" w:hAnsi="Arial" w:cs="Arial"/>
          <w:sz w:val="22"/>
          <w:szCs w:val="22"/>
          <w:lang w:val="sr-Cyrl-RS" w:eastAsia="en-US"/>
        </w:rPr>
        <w:t>мегавата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>
        <w:rPr>
          <w:rFonts w:ascii="Arial" w:hAnsi="Arial" w:cs="Arial"/>
          <w:sz w:val="22"/>
          <w:szCs w:val="22"/>
          <w:lang w:val="sr-Cyrl-RS" w:eastAsia="en-US"/>
        </w:rPr>
        <w:t>То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практично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значи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погони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Огранка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дају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75% </w:t>
      </w:r>
      <w:r>
        <w:rPr>
          <w:rFonts w:ascii="Arial" w:hAnsi="Arial" w:cs="Arial"/>
          <w:sz w:val="22"/>
          <w:szCs w:val="22"/>
          <w:lang w:val="sr-Cyrl-RS" w:eastAsia="en-US"/>
        </w:rPr>
        <w:t>производње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термоелектрана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односно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око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50% </w:t>
      </w:r>
      <w:r>
        <w:rPr>
          <w:rFonts w:ascii="Arial" w:hAnsi="Arial" w:cs="Arial"/>
          <w:sz w:val="22"/>
          <w:szCs w:val="22"/>
          <w:lang w:val="sr-Cyrl-RS" w:eastAsia="en-US"/>
        </w:rPr>
        <w:t>укупне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производње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електричне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енергије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ЕПС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-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>
        <w:rPr>
          <w:rFonts w:ascii="Arial" w:hAnsi="Arial" w:cs="Arial"/>
          <w:sz w:val="22"/>
          <w:szCs w:val="22"/>
          <w:lang w:val="sr-Cyrl-RS" w:eastAsia="en-US"/>
        </w:rPr>
        <w:t>Предузеће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свом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саставу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има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четири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активне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електране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14 </w:t>
      </w:r>
      <w:r>
        <w:rPr>
          <w:rFonts w:ascii="Arial" w:hAnsi="Arial" w:cs="Arial"/>
          <w:sz w:val="22"/>
          <w:szCs w:val="22"/>
          <w:lang w:val="sr-Cyrl-RS" w:eastAsia="en-US"/>
        </w:rPr>
        <w:t>блокова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- 6;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- 2; </w:t>
      </w:r>
      <w:r>
        <w:rPr>
          <w:rFonts w:ascii="Arial" w:hAnsi="Arial" w:cs="Arial"/>
          <w:sz w:val="22"/>
          <w:szCs w:val="22"/>
          <w:lang w:val="sr-Cyrl-RS" w:eastAsia="en-US"/>
        </w:rPr>
        <w:t>ТЕК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- 5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- 1), </w:t>
      </w:r>
      <w:r>
        <w:rPr>
          <w:rFonts w:ascii="Arial" w:hAnsi="Arial" w:cs="Arial"/>
          <w:sz w:val="22"/>
          <w:szCs w:val="22"/>
          <w:lang w:val="sr-Cyrl-RS" w:eastAsia="en-US"/>
        </w:rPr>
        <w:t>као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Железнички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транспорт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укупно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око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100 </w:t>
      </w:r>
      <w:r>
        <w:rPr>
          <w:rFonts w:ascii="Arial" w:hAnsi="Arial" w:cs="Arial"/>
          <w:sz w:val="22"/>
          <w:szCs w:val="22"/>
          <w:lang w:val="sr-Cyrl-RS" w:eastAsia="en-US"/>
        </w:rPr>
        <w:t>км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колосека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Полазећи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чињенице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је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одлуком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Владе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РС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прогла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ен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предузеће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посебног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инереса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одбрану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земље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који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испоручује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око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50 % </w:t>
      </w:r>
      <w:r>
        <w:rPr>
          <w:rFonts w:ascii="Arial" w:hAnsi="Arial" w:cs="Arial"/>
          <w:sz w:val="22"/>
          <w:szCs w:val="22"/>
          <w:lang w:eastAsia="en-US"/>
        </w:rPr>
        <w:t>електричне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енергије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Србији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јасно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је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какав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заначај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он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има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привреди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Србије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овог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објекта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треба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посветити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посебну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пажњу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Главни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предмет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Огранку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представљају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људски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потом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основна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делатност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материјалним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ресурсима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Под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титом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људских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поред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запослених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Огранку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подразумевају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запослени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извођача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радова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странке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странци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пословни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партнери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Под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титом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материјалних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подразумева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објеката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који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виталне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важности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основну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делатност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Огранка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(</w:t>
      </w:r>
      <w:r>
        <w:rPr>
          <w:rFonts w:ascii="Arial" w:hAnsi="Arial" w:cs="Arial"/>
          <w:sz w:val="22"/>
          <w:szCs w:val="22"/>
          <w:lang w:eastAsia="en-US"/>
        </w:rPr>
        <w:t>производња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термоелектричне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енергије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), </w:t>
      </w:r>
      <w:r>
        <w:rPr>
          <w:rFonts w:ascii="Arial" w:hAnsi="Arial" w:cs="Arial"/>
          <w:sz w:val="22"/>
          <w:szCs w:val="22"/>
          <w:lang w:eastAsia="en-US"/>
        </w:rPr>
        <w:t>односно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објеката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чијим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би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уни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тењем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тећењем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или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уклањањем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ло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до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битног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поремећаја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целокупног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пословања</w:t>
      </w:r>
      <w:r w:rsidR="004D3283" w:rsidRPr="00700BC7">
        <w:rPr>
          <w:rFonts w:ascii="Arial" w:hAnsi="Arial" w:cs="Arial"/>
          <w:sz w:val="22"/>
          <w:szCs w:val="22"/>
          <w:lang w:eastAsia="en-U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Како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је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основан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ради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обезбеђивања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услова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редовно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сигурно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снабдевање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електричном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енергијом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оријентисано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обезбеђивање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континуитета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пословању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свим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условима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неопходно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је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створити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услове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остварење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пословне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политике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сегменту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који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се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односи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безбедност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пословања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ванредним</w:t>
      </w:r>
      <w:r w:rsidR="004D3283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ситуацијама</w:t>
      </w:r>
      <w:r w:rsidR="004D3283" w:rsidRPr="00700BC7">
        <w:rPr>
          <w:rFonts w:ascii="Arial" w:hAnsi="Arial" w:cs="Arial"/>
          <w:bCs/>
          <w:iCs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Закону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Републике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Србије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Службени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гласник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РС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“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број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(111/2009, 92/2011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93/2012),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представља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ризици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претње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последице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катастрофа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догађаја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других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становни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тво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животну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средину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материјална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добра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таквог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обима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интензитета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њихов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настанак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последице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није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могуће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спречити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отклонити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редовним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деловањем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надлежних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органа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због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чега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њихово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ублажавање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отклањање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неопходно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употребити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посебне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снаге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средства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уз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појачан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режим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рада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обзиром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пројектовано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твено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одговорно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групи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ЕПС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самим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,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претпоставља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припреме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превенцију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реаговање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неопходно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складу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Уредбом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садржају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начину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планова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("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Службени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гласник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РС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",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бр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8/2011)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Упутством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методологији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процене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угрожености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планова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("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Службени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гласник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РС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",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бр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8/2017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)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Процену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угрожености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елементарних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непогода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других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несрећа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дефинисати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основне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елементе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.</w:t>
      </w:r>
    </w:p>
    <w:p w:rsidR="004D3283" w:rsidRPr="00700BC7" w:rsidRDefault="00B212F1" w:rsidP="004D3283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  <w:szCs w:val="22"/>
          <w:lang w:val="sr-Cyrl-RS" w:eastAsia="en-US"/>
        </w:rPr>
      </w:pPr>
      <w:r>
        <w:rPr>
          <w:rFonts w:ascii="Arial MT" w:hAnsi="Arial MT"/>
          <w:b/>
          <w:color w:val="000000"/>
          <w:sz w:val="22"/>
          <w:szCs w:val="22"/>
          <w:lang w:val="sr-Cyrl-RS" w:eastAsia="en-US"/>
        </w:rPr>
        <w:t>ПОСТОЈЕЋЕ</w:t>
      </w:r>
      <w:r w:rsidR="004D3283" w:rsidRPr="00700BC7">
        <w:rPr>
          <w:rFonts w:ascii="Arial MT" w:hAnsi="Arial MT"/>
          <w:b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b/>
          <w:color w:val="000000"/>
          <w:sz w:val="22"/>
          <w:szCs w:val="22"/>
          <w:lang w:val="sr-Cyrl-RS" w:eastAsia="en-US"/>
        </w:rPr>
        <w:t>СТАЊЕ</w:t>
      </w:r>
    </w:p>
    <w:p w:rsidR="004D3283" w:rsidRPr="00700BC7" w:rsidRDefault="00B212F1" w:rsidP="004D3283">
      <w:pPr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Arial MT" w:hAnsi="Arial MT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нема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израђену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процену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ризика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тити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лица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имовине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пословања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скалду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Националним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стандардом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hAnsi="Arial" w:cs="Arial"/>
        </w:rPr>
        <w:t>СРПС</w:t>
      </w:r>
      <w:r w:rsidR="004D3283" w:rsidRPr="00700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4D3283" w:rsidRPr="00700BC7">
        <w:rPr>
          <w:rFonts w:ascii="Arial" w:hAnsi="Arial" w:cs="Arial"/>
        </w:rPr>
        <w:t>.</w:t>
      </w:r>
      <w:r>
        <w:rPr>
          <w:rFonts w:ascii="Arial" w:hAnsi="Arial" w:cs="Arial"/>
        </w:rPr>
        <w:t>Л</w:t>
      </w:r>
      <w:r w:rsidR="004D3283" w:rsidRPr="00700BC7">
        <w:rPr>
          <w:rFonts w:ascii="Arial" w:hAnsi="Arial" w:cs="Arial"/>
        </w:rPr>
        <w:t>2.003:2017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Безбедност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отпорност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Процена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ризика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(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даљем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тексту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Национални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стандард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4D3283" w:rsidRPr="00700BC7" w:rsidRDefault="004D3283" w:rsidP="004D3283">
      <w:pPr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700BC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као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ни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процену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угрожености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складу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са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Законом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ванредним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ситуацијама</w:t>
      </w:r>
      <w:r w:rsidRPr="00700BC7">
        <w:rPr>
          <w:rFonts w:ascii="Arial MT" w:hAnsi="Arial MT"/>
          <w:sz w:val="22"/>
          <w:szCs w:val="22"/>
          <w:lang w:val="en-US" w:eastAsia="en-US"/>
        </w:rPr>
        <w:t>, ш</w:t>
      </w:r>
      <w:r w:rsidR="00B212F1">
        <w:rPr>
          <w:rFonts w:ascii="Arial MT" w:hAnsi="Arial MT"/>
          <w:sz w:val="22"/>
          <w:szCs w:val="22"/>
          <w:lang w:val="en-US" w:eastAsia="en-US"/>
        </w:rPr>
        <w:t>то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значајно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увећава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ризике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доприноси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повећању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потенцијалних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негативних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последица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пословање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ТЕНТ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 w:rsidR="00B212F1">
        <w:rPr>
          <w:rFonts w:ascii="Arial MT" w:hAnsi="Arial MT"/>
          <w:sz w:val="22"/>
          <w:szCs w:val="22"/>
          <w:lang w:val="en-US" w:eastAsia="en-US"/>
        </w:rPr>
        <w:t>али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указује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да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Огранак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ТЕНТ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тренутно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не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испуњава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обавезе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предвиђене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законским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и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подзаконским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прописима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. 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има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урађене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имплементиране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обавезе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из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области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пожара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складу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законским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подзаконским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прописима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(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је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сврстан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категорију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угрожености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пожара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свом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саставу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поседује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следеће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објекте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производне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локације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): </w:t>
      </w:r>
    </w:p>
    <w:p w:rsidR="004D3283" w:rsidRPr="00700BC7" w:rsidRDefault="00B212F1" w:rsidP="004D3283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Никола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Тесла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Обреновац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4D3283" w:rsidRPr="00700BC7" w:rsidRDefault="00B212F1" w:rsidP="004D3283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Никола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Тесла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Latn-RS"/>
        </w:rPr>
        <w:t>Б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ће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Б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4D3283" w:rsidRPr="00700BC7" w:rsidRDefault="00B212F1" w:rsidP="004D3283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Колубара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Велики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Црљени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4D3283" w:rsidRPr="00700BC7" w:rsidRDefault="00B212F1" w:rsidP="004D3283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Морава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Свилајнац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4D3283" w:rsidRDefault="00B212F1" w:rsidP="004D3283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Железнички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транспорт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ЖТ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</w:t>
      </w:r>
    </w:p>
    <w:p w:rsidR="00B212F1" w:rsidRDefault="00B212F1" w:rsidP="00B212F1">
      <w:pPr>
        <w:suppressAutoHyphens w:val="0"/>
        <w:spacing w:before="120" w:line="100" w:lineRule="atLeast"/>
        <w:ind w:left="360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B212F1" w:rsidRPr="00700BC7" w:rsidRDefault="00B212F1" w:rsidP="00B212F1">
      <w:pPr>
        <w:suppressAutoHyphens w:val="0"/>
        <w:spacing w:before="120" w:line="100" w:lineRule="atLeast"/>
        <w:ind w:left="360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>ЗАДАТАК</w:t>
      </w:r>
      <w:r w:rsidR="004D3283" w:rsidRPr="00700BC7"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УСЛУГЕ</w:t>
      </w:r>
    </w:p>
    <w:p w:rsidR="004D3283" w:rsidRPr="00700BC7" w:rsidRDefault="00B212F1" w:rsidP="004D3283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 MT" w:hAnsi="Arial MT"/>
          <w:sz w:val="22"/>
          <w:szCs w:val="22"/>
          <w:lang w:val="en-US" w:eastAsia="en-US"/>
        </w:rPr>
      </w:pPr>
      <w:r>
        <w:rPr>
          <w:rFonts w:ascii="Arial MT" w:hAnsi="Arial MT"/>
          <w:sz w:val="22"/>
          <w:szCs w:val="22"/>
          <w:lang w:val="en-US" w:eastAsia="en-US"/>
        </w:rPr>
        <w:t>Основни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задатак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је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Процена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ризика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тити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лица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имовине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пословања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П</w:t>
      </w:r>
      <w:r>
        <w:rPr>
          <w:rFonts w:ascii="Arial MT" w:hAnsi="Arial MT"/>
          <w:sz w:val="22"/>
          <w:szCs w:val="22"/>
          <w:lang w:val="en-US" w:eastAsia="en-US"/>
        </w:rPr>
        <w:t>роцена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угрожености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од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елементарних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непогода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других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несрећа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којом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се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дефини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>ш</w:t>
      </w:r>
      <w:r>
        <w:rPr>
          <w:rFonts w:ascii="Arial MT" w:hAnsi="Arial MT"/>
          <w:sz w:val="22"/>
          <w:szCs w:val="22"/>
          <w:lang w:val="en-US" w:eastAsia="en-US"/>
        </w:rPr>
        <w:t>у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положај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карактеристике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локација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објеката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могућа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угроженост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критичне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инфраструктуре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идентификуј</w:t>
      </w:r>
      <w:r>
        <w:rPr>
          <w:rFonts w:ascii="Arial MT" w:hAnsi="Arial MT"/>
          <w:sz w:val="22"/>
          <w:szCs w:val="22"/>
          <w:lang w:val="sr-Cyrl-RS" w:eastAsia="en-US"/>
        </w:rPr>
        <w:t>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опасности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процењују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ризици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дефини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>ш</w:t>
      </w:r>
      <w:r>
        <w:rPr>
          <w:rFonts w:ascii="Arial MT" w:hAnsi="Arial MT"/>
          <w:sz w:val="22"/>
          <w:szCs w:val="22"/>
          <w:lang w:val="en-US" w:eastAsia="en-US"/>
        </w:rPr>
        <w:t>у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потребне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снаге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средства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превентивне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мере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за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за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>ш</w:t>
      </w:r>
      <w:r>
        <w:rPr>
          <w:rFonts w:ascii="Arial MT" w:hAnsi="Arial MT"/>
          <w:sz w:val="22"/>
          <w:szCs w:val="22"/>
          <w:lang w:val="en-US" w:eastAsia="en-US"/>
        </w:rPr>
        <w:t>титу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спасавање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од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елементарних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непогода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других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несрећа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као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израда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Плана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спасавања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Планом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од</w:t>
      </w:r>
      <w:r w:rsidR="004D3283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удеса</w:t>
      </w:r>
      <w:r w:rsidR="004D3283" w:rsidRPr="00700BC7">
        <w:rPr>
          <w:rFonts w:ascii="Arial MT" w:hAnsi="Arial MT"/>
          <w:sz w:val="22"/>
          <w:szCs w:val="22"/>
          <w:lang w:val="en-US" w:eastAsia="en-US"/>
        </w:rPr>
        <w:t xml:space="preserve">. </w:t>
      </w:r>
    </w:p>
    <w:p w:rsidR="004D3283" w:rsidRPr="00700BC7" w:rsidRDefault="00B212F1" w:rsidP="004D3283">
      <w:pPr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Резултат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задатка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 w:eastAsia="en-US"/>
        </w:rPr>
        <w:t>су</w:t>
      </w:r>
      <w:r w:rsidR="004D3283" w:rsidRPr="00700BC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израђени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Процена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sz w:val="22"/>
          <w:szCs w:val="22"/>
          <w:lang w:val="sr-Cyrl-RS" w:eastAsia="en-US"/>
        </w:rPr>
        <w:t>тити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лица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имовине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пословања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П</w:t>
      </w:r>
      <w:r>
        <w:rPr>
          <w:rFonts w:ascii="Arial" w:hAnsi="Arial" w:cs="Arial"/>
          <w:sz w:val="22"/>
          <w:szCs w:val="22"/>
          <w:lang w:val="en-US" w:eastAsia="en-US"/>
        </w:rPr>
        <w:t>роцена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угрожености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елементарних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непогода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других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несрећа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План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спасавања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ванредним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ситуацијама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Планом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удеса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то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изводима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сваку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производну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локацију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ОБИМ</w:t>
      </w:r>
      <w:r w:rsidR="004D3283" w:rsidRPr="00700BC7"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УСЛУГЕ</w:t>
      </w:r>
    </w:p>
    <w:p w:rsidR="004D3283" w:rsidRPr="00700BC7" w:rsidRDefault="00B212F1" w:rsidP="004D3283">
      <w:pPr>
        <w:numPr>
          <w:ilvl w:val="0"/>
          <w:numId w:val="21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Процена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ризика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у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за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ш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тити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лица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,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имовине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пословања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нестабилном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динамичном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привредном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учестали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разноврсни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глобални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ризици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резултирају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бројним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кризним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ситуацијама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нису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тићене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највеће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најмоћније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компаније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Привредни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субјекти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одговарајући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начин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припремљени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могуће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ситуације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стању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многе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благовремено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предвиде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спрече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уоче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раном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стадијуму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онемогуће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њихов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развој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пак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акутној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примене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најадекватније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контрамере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>,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скрате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време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трајања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њене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последице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Први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корак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процесу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идентификације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оцене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превенције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ситуација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Процена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се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данас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одвија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сагласно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строгим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стручним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научним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принципима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прецизним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методама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процедурама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Усвајањем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Н</w:t>
      </w:r>
      <w:r>
        <w:rPr>
          <w:rFonts w:ascii="Arial" w:hAnsi="Arial" w:cs="Arial"/>
          <w:sz w:val="22"/>
          <w:szCs w:val="22"/>
          <w:lang w:val="en" w:eastAsia="sr-Latn-RS"/>
        </w:rPr>
        <w:t>ационалног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створен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солидан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основ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препознавање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оцену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рангирање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квантификацију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релевантних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корпоративну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Национални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јединствен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инструмент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омогућава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глобалан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приступ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јер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његова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методологија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подразумева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анализу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оцену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аспеката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корпоративне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менаџмента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ћу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здрављем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раду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преко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тите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од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пожара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њу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нормативн</w:t>
      </w:r>
      <w:r>
        <w:rPr>
          <w:rFonts w:ascii="Arial" w:hAnsi="Arial" w:cs="Arial"/>
          <w:sz w:val="22"/>
          <w:szCs w:val="22"/>
          <w:lang w:val="sr-Cyrl-RS" w:eastAsia="sr-Latn-RS"/>
        </w:rPr>
        <w:t>о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>-</w:t>
      </w:r>
      <w:r>
        <w:rPr>
          <w:rFonts w:ascii="Arial" w:hAnsi="Arial" w:cs="Arial"/>
          <w:sz w:val="22"/>
          <w:szCs w:val="22"/>
          <w:lang w:val="sr-Cyrl-RS" w:eastAsia="sr-Latn-RS"/>
        </w:rPr>
        <w:t>правну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регулативу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противправно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деловање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унутар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/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предузећа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Резултат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примене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методологије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стандарда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приказ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потенцијалних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класификованих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нумерички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изражених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уз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предлог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јасних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њихово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смањивање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елиминисање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Израда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процене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методологији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Н</w:t>
      </w:r>
      <w:r>
        <w:rPr>
          <w:rFonts w:ascii="Arial" w:hAnsi="Arial" w:cs="Arial"/>
          <w:sz w:val="22"/>
          <w:szCs w:val="22"/>
          <w:lang w:val="en" w:eastAsia="sr-Latn-RS"/>
        </w:rPr>
        <w:t>ационалног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одвијала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кроз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три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:</w:t>
      </w:r>
    </w:p>
    <w:p w:rsidR="004D3283" w:rsidRPr="00700BC7" w:rsidRDefault="004D3283" w:rsidP="004D3283">
      <w:pPr>
        <w:suppressAutoHyphens w:val="0"/>
        <w:spacing w:before="120"/>
        <w:jc w:val="both"/>
        <w:rPr>
          <w:rFonts w:ascii="Arial" w:hAnsi="Arial" w:cs="Arial"/>
          <w:sz w:val="10"/>
          <w:szCs w:val="10"/>
          <w:lang w:val="sr-Cyrl-RS" w:eastAsia="sr-Latn-RS"/>
        </w:rPr>
      </w:pPr>
    </w:p>
    <w:p w:rsidR="004D3283" w:rsidRPr="00700BC7" w:rsidRDefault="00B212F1" w:rsidP="004D3283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прецизно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идентификовање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потенцијалних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лица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имовине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пословања</w:t>
      </w:r>
    </w:p>
    <w:p w:rsidR="004D3283" w:rsidRPr="00700BC7" w:rsidRDefault="00B212F1" w:rsidP="004D3283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израчунавање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величине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сваку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појединачно</w:t>
      </w:r>
    </w:p>
    <w:p w:rsidR="004D3283" w:rsidRPr="00700BC7" w:rsidRDefault="00B212F1" w:rsidP="004D3283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предлагање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третман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процењених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</w:p>
    <w:p w:rsidR="004D3283" w:rsidRPr="00700BC7" w:rsidRDefault="004D3283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оквиру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прве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пројекта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еслојна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темељна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анализа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нормативних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аката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техничких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ресурса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људских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капацитета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складу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методологијом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Н</w:t>
      </w:r>
      <w:r>
        <w:rPr>
          <w:rFonts w:ascii="Arial" w:hAnsi="Arial" w:cs="Arial"/>
          <w:sz w:val="22"/>
          <w:szCs w:val="22"/>
          <w:lang w:val="en" w:eastAsia="sr-Latn-RS"/>
        </w:rPr>
        <w:t>ационалног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оквиру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ове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идентификација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следећих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категорија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:</w:t>
      </w:r>
    </w:p>
    <w:p w:rsidR="004D3283" w:rsidRDefault="004D3283" w:rsidP="004D3283">
      <w:pPr>
        <w:suppressAutoHyphens w:val="0"/>
        <w:spacing w:before="120"/>
        <w:jc w:val="both"/>
        <w:rPr>
          <w:rFonts w:ascii="Arial" w:hAnsi="Arial" w:cs="Arial"/>
          <w:sz w:val="10"/>
          <w:szCs w:val="10"/>
          <w:lang w:val="sr-Cyrl-RS" w:eastAsia="sr-Latn-RS"/>
        </w:rPr>
      </w:pPr>
    </w:p>
    <w:p w:rsidR="00B212F1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10"/>
          <w:szCs w:val="10"/>
          <w:lang w:val="sr-Cyrl-RS" w:eastAsia="sr-Latn-RS"/>
        </w:rPr>
      </w:pP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lastRenderedPageBreak/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оп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тих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пословних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активности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безбедност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здравље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раду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правни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противправног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деловања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пожара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елементарних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непогода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других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несрећа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експлозија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животну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средину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процесу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управљања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људским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ресурсима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области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информационо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комуникационо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телекомуникационој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области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</w:p>
    <w:p w:rsidR="004D3283" w:rsidRPr="00700BC7" w:rsidRDefault="00B212F1" w:rsidP="004D3283">
      <w:pPr>
        <w:numPr>
          <w:ilvl w:val="0"/>
          <w:numId w:val="24"/>
        </w:num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к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ритеријуми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идентификацију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ризика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неусагла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ености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са</w:t>
      </w:r>
      <w:r w:rsidR="004D3283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стандардима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Друга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пројекта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подразумева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прецизну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квантификацију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категорија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додељивање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одговарајућих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номиналних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вредности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складу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затеченим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стањем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Ова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подразумева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израчунавање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нумеричке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величине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свакој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наведених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категорија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уз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јасан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прегледан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графички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приказ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процењених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овај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начин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добија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систематичан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преглед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евентуалних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недостатака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слобости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пропуста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производе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одређен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њено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пословање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запослене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имовину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.</w:t>
      </w:r>
    </w:p>
    <w:p w:rsidR="004D3283" w:rsidRPr="00700BC7" w:rsidRDefault="00B212F1" w:rsidP="004D3283">
      <w:pPr>
        <w:shd w:val="clear" w:color="auto" w:fill="FAFAFA"/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Трећа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пројекта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резултира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израдом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предлога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радњи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отклањање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услова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узрока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производе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лица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имовину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пословање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sr-Latn-RS"/>
        </w:rPr>
        <w:t>односно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ова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пружа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смернице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превенцију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смањење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анализираних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</w:p>
    <w:p w:rsidR="004D3283" w:rsidRPr="00700BC7" w:rsidRDefault="00B212F1" w:rsidP="004D3283">
      <w:pPr>
        <w:numPr>
          <w:ilvl w:val="0"/>
          <w:numId w:val="21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/>
          <w:bCs/>
          <w:iCs/>
          <w:color w:val="FF0000"/>
          <w:kern w:val="1"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Процена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угрожености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од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елементраних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непогода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других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несрећа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План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за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ш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тите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спасавања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са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Планом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за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ш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тите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од</w:t>
      </w:r>
      <w:r w:rsidR="004D3283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удеса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en-US" w:eastAsia="en-US"/>
        </w:rPr>
        <w:t>Активности</w:t>
      </w:r>
      <w:r w:rsidR="004D3283" w:rsidRPr="00700BC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 w:eastAsia="en-US"/>
        </w:rPr>
        <w:t>обима</w:t>
      </w:r>
      <w:r w:rsidR="004D3283" w:rsidRPr="00700BC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Анализа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постојећег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организације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послова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везаних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објектима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Предлог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основних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принципа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организације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послова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којима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обезбеђује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начин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контроле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извр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задатака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Идентификација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извора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облика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угрожавања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; 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Дефинисање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могућих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ефеката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последица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; 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Оцена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4D3283" w:rsidRPr="00700BC7" w:rsidRDefault="00B212F1" w:rsidP="004D3283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Предложити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контроле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третман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оцењених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; 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Садржај</w:t>
      </w:r>
      <w:r w:rsidR="004D3283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процене</w:t>
      </w:r>
      <w:r w:rsidR="004D3283" w:rsidRPr="00700BC7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угрожености</w:t>
      </w:r>
      <w:r w:rsidR="004D3283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Процена</w:t>
      </w:r>
      <w:r w:rsidR="004D3283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обавезно</w:t>
      </w:r>
      <w:r w:rsidR="004D3283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садржи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: </w:t>
      </w:r>
    </w:p>
    <w:p w:rsidR="004D3283" w:rsidRPr="00700BC7" w:rsidRDefault="00B212F1" w:rsidP="004D328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Увод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не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радње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Оп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део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Посебни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део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Закључак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Садржај</w:t>
      </w:r>
      <w:r w:rsidR="004D3283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плана</w:t>
      </w:r>
    </w:p>
    <w:p w:rsidR="004D3283" w:rsidRPr="00700BC7" w:rsidRDefault="004D3283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0"/>
          <w:szCs w:val="10"/>
          <w:lang w:val="en-US" w:eastAsia="en-US"/>
        </w:rPr>
      </w:pPr>
      <w:r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је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основни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плански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документ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основу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кога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субјекти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организују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припремају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учествују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извр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авању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мера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задатака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lastRenderedPageBreak/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угроженог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становни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тва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материјалних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културних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добара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животне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средине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израђује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основу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угрожености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елементарних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непогода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других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несрећа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процена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расположивих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капацитета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могућности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титу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спасавање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свим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нивоима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План</w:t>
      </w:r>
      <w:r w:rsidR="004D3283" w:rsidRPr="00700BC7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садржи</w:t>
      </w:r>
      <w:r w:rsidR="004D3283" w:rsidRPr="00700BC7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: </w:t>
      </w:r>
    </w:p>
    <w:p w:rsidR="004D3283" w:rsidRPr="00700BC7" w:rsidRDefault="004D3283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0"/>
          <w:szCs w:val="10"/>
          <w:lang w:val="sr-Cyrl-RS" w:eastAsia="en-US"/>
        </w:rPr>
      </w:pPr>
    </w:p>
    <w:p w:rsidR="004D3283" w:rsidRPr="00700BC7" w:rsidRDefault="00B212F1" w:rsidP="004D328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приправност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спремност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деловање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ванредн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им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ситуациј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ама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мобилизациј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активирањ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сопствених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снага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средстава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ради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извр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ења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задатака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области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спасавања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осматрања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раног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упозоравања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обаве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тавања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узбуњивања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мера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задатака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цивилне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тите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(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саставни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део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преглед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средстава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личну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узајамну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колективну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титу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)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4D3283" w:rsidRPr="00700BC7" w:rsidRDefault="00B212F1" w:rsidP="004D328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извр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ења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задатака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утврђених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Националним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планом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окружним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планом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јединица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локалне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самоуправе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  <w:t>РАСПОЛОЖИВА</w:t>
      </w:r>
      <w:r w:rsidR="004D3283" w:rsidRPr="00700BC7"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  <w:t>ДОКУМЕНТАЦИЈА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доступна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расположива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документација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односи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предмет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набавке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подлоге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треба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користити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:</w:t>
      </w:r>
    </w:p>
    <w:p w:rsidR="004D3283" w:rsidRPr="00700BC7" w:rsidRDefault="00B212F1" w:rsidP="004D3283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Страте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4D3283" w:rsidRPr="00700BC7" w:rsidRDefault="00B212F1" w:rsidP="004D3283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Интерна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акта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4D3283" w:rsidRPr="00700BC7" w:rsidRDefault="00B212F1" w:rsidP="004D3283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Постојећу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документацију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интегрисаног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менаџмент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система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процедуре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упутства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друга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оперативна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односе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планиране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превентивне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реаговање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случају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4D3283" w:rsidRPr="00700BC7" w:rsidRDefault="00B212F1" w:rsidP="004D3283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Податке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ризицима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надлежних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4D3283" w:rsidRPr="00700BC7" w:rsidRDefault="00B212F1" w:rsidP="004D3283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Cs w:val="24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Анкетирање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лицу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места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;</w:t>
      </w:r>
    </w:p>
    <w:p w:rsidR="004D3283" w:rsidRPr="00700BC7" w:rsidRDefault="00B212F1" w:rsidP="004D3283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Cs w:val="24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Студију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процени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угрожености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ЈП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ЕПС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Поред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наведеног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обавеза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захтев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овла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ћеног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лица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: </w:t>
      </w:r>
    </w:p>
    <w:p w:rsidR="004D3283" w:rsidRPr="00700BC7" w:rsidRDefault="00B212F1" w:rsidP="004D3283">
      <w:pPr>
        <w:numPr>
          <w:ilvl w:val="0"/>
          <w:numId w:val="18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одреди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лица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стручном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тиму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захтеву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Изабраног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року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од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три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од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закључења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уговора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перманентно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доставља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податке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својих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стручних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</w:p>
    <w:p w:rsidR="004D3283" w:rsidRPr="00700BC7" w:rsidRDefault="00B212F1" w:rsidP="004D3283">
      <w:pPr>
        <w:numPr>
          <w:ilvl w:val="0"/>
          <w:numId w:val="18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омогући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улазак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рад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планира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објектима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складу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посебним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овла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ћењем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</w:p>
    <w:p w:rsidR="004D3283" w:rsidRPr="00700BC7" w:rsidRDefault="00B212F1" w:rsidP="004D3283">
      <w:pPr>
        <w:numPr>
          <w:ilvl w:val="0"/>
          <w:numId w:val="18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обезбеди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непосред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сарадњу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представником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</w:rPr>
        <w:t>Н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аручиоца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планираном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објекту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. 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Cs w:val="24"/>
          <w:lang w:val="sr-Cyrl-RS"/>
        </w:rPr>
      </w:pPr>
      <w:r>
        <w:rPr>
          <w:rFonts w:ascii="Arial" w:hAnsi="Arial" w:cs="Arial"/>
          <w:b/>
          <w:bCs/>
          <w:iCs/>
          <w:color w:val="000000"/>
          <w:kern w:val="1"/>
          <w:szCs w:val="24"/>
          <w:lang w:val="en-US"/>
        </w:rPr>
        <w:t>ФАЗЕ</w:t>
      </w:r>
      <w:r w:rsidR="004D3283" w:rsidRPr="00700BC7">
        <w:rPr>
          <w:rFonts w:ascii="Arial" w:hAnsi="Arial" w:cs="Arial"/>
          <w:b/>
          <w:bCs/>
          <w:iCs/>
          <w:color w:val="000000"/>
          <w:kern w:val="1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Cs w:val="24"/>
          <w:lang w:val="en-US"/>
        </w:rPr>
        <w:t>РЕАЛИЗАЦИЈЕ</w:t>
      </w:r>
      <w:r w:rsidR="004D3283" w:rsidRPr="00700BC7">
        <w:rPr>
          <w:rFonts w:ascii="Arial" w:hAnsi="Arial" w:cs="Arial"/>
          <w:b/>
          <w:bCs/>
          <w:iCs/>
          <w:color w:val="000000"/>
          <w:kern w:val="1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Cs w:val="24"/>
          <w:lang w:val="sr-Cyrl-RS"/>
        </w:rPr>
        <w:t>УСЛУГЕ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Понуђач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је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дужан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да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односу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дати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рок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извр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ења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услуга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достави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као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посебан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прилог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понуде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Термин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план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извр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ења</w:t>
      </w:r>
      <w:r w:rsidR="004D3283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услуга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овом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треба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назначити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све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главне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активности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које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утврђене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оквиру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тачке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"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Задатак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"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ради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испуњења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циљева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датих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тачки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"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Обим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"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појединачним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фазама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датим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тачки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"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Фазе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реализације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",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укључујући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достављање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изве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остале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активности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Cs w:val="24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Ако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понуђач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понуди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достави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Термин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понуда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ће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бити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одбијена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као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неприхватљива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lastRenderedPageBreak/>
        <w:t>Изабрани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Термин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активности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фазама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предвиђени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рок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извр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ење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услуге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свакој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завр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еној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фази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доставити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сагласност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Стручном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тиму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добијеној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сагласности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сматраће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фаза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успе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реализована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Свака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измена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усвојен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стране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утиче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промену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смислу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потребних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ресурса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продужетак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рока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мора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бити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обострано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усвојена</w:t>
      </w:r>
      <w:r w:rsidR="004D3283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4D3283" w:rsidRPr="00700BC7" w:rsidRDefault="00B212F1" w:rsidP="004D3283">
      <w:pPr>
        <w:spacing w:before="120" w:line="100" w:lineRule="atLeast"/>
        <w:jc w:val="both"/>
        <w:rPr>
          <w:rFonts w:ascii="Arial" w:hAnsi="Arial" w:cs="Arial"/>
          <w:bCs/>
          <w:iCs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Обавезне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фазе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реализају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предмета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набавке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: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А</w:t>
      </w:r>
      <w:r>
        <w:rPr>
          <w:rFonts w:ascii="Arial" w:hAnsi="Arial" w:cs="Arial"/>
          <w:sz w:val="22"/>
          <w:szCs w:val="22"/>
          <w:lang w:val="en" w:eastAsia="sr-Latn-RS"/>
        </w:rPr>
        <w:t>нализ</w:t>
      </w:r>
      <w:r>
        <w:rPr>
          <w:rFonts w:ascii="Arial" w:hAnsi="Arial" w:cs="Arial"/>
          <w:sz w:val="22"/>
          <w:szCs w:val="22"/>
          <w:lang w:val="sr-Cyrl-RS" w:eastAsia="sr-Latn-RS"/>
        </w:rPr>
        <w:t>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оцен</w:t>
      </w:r>
      <w:r>
        <w:rPr>
          <w:rFonts w:ascii="Arial" w:hAnsi="Arial" w:cs="Arial"/>
          <w:sz w:val="22"/>
          <w:szCs w:val="22"/>
          <w:lang w:val="sr-Cyrl-RS" w:eastAsia="sr-Latn-RS"/>
        </w:rPr>
        <w:t>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аспеката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корпоративне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менаџмента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ћу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здрављем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раду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преко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тите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од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пожара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унутра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њу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нормативн</w:t>
      </w:r>
      <w:r>
        <w:rPr>
          <w:rFonts w:ascii="Arial" w:hAnsi="Arial" w:cs="Arial"/>
          <w:sz w:val="22"/>
          <w:szCs w:val="22"/>
          <w:lang w:val="sr-Cyrl-RS" w:eastAsia="sr-Latn-RS"/>
        </w:rPr>
        <w:t>о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>-</w:t>
      </w:r>
      <w:r>
        <w:rPr>
          <w:rFonts w:ascii="Arial" w:hAnsi="Arial" w:cs="Arial"/>
          <w:sz w:val="22"/>
          <w:szCs w:val="22"/>
          <w:lang w:val="sr-Cyrl-RS" w:eastAsia="sr-Latn-RS"/>
        </w:rPr>
        <w:t>правну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регулативу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противправно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деловање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унутар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>/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ван</w:t>
      </w:r>
      <w:r w:rsidR="004D3283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предузећа</w:t>
      </w:r>
      <w:r w:rsidR="004D3283" w:rsidRPr="00700BC7">
        <w:rPr>
          <w:rFonts w:ascii="Arial" w:hAnsi="Arial" w:cs="Arial"/>
          <w:sz w:val="22"/>
          <w:szCs w:val="22"/>
          <w:lang w:val="sr-Cyrl-RS" w:eastAsia="sr-Latn-R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Увод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дефинисање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циља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анализа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положаја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карактеристика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територије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локације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објеката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>Огранка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>ТЕНТ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критичне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инфраструктуре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станови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угрожености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елементарних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непогода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других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несрећа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идентификација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објеката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критичне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инфраструктуре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врсте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интензитета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опасности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Идентификација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опасности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елементарних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непогода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других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несрећа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зависности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узрока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настанка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извора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облика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угрожавања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дефинисање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могућих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ефеката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последица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идентификовање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оцена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идентификованих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елементарних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непогода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других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несрећа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Предлог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мера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контроле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третман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идентификованих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оцењених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ризика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потребних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снага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средстава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превентивних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мера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титу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спасавање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Анализа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постојећег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стања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организације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послова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везаних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ванредне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ситуације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предлог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основних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принципа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организације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послова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којима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обезбеђује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начин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контроле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извр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авања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задатака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тите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спасавања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Огранку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ТЕНТ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 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Закључак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предлогом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основних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елемената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израду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плана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тите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спасавања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ванредним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ситуацијама</w:t>
      </w:r>
      <w:r w:rsidR="004D3283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усвајање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предлога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ризика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тити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лица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имовине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пословања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Стручни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Огранка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усвајање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предлога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угрожености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елементарних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непогода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других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несрећа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Стручни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Огранка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усвајање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предлога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ванредним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ситуацијама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Стручни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Огранка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;</w:t>
      </w:r>
    </w:p>
    <w:p w:rsidR="004D3283" w:rsidRPr="00700BC7" w:rsidRDefault="00B212F1" w:rsidP="004D3283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завр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угрожености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елементарних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непогода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других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несрећа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ванредним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ситуацијама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папирном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облику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електронском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медију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ЦД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или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ДВД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примерка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</w:p>
    <w:p w:rsidR="004D3283" w:rsidRPr="00700BC7" w:rsidRDefault="004D3283" w:rsidP="004D3283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0BC7">
        <w:rPr>
          <w:rFonts w:ascii="Arial" w:hAnsi="Arial" w:cs="Arial"/>
          <w:b/>
          <w:sz w:val="22"/>
          <w:szCs w:val="22"/>
          <w:lang w:val="en-US" w:eastAsia="en-US"/>
        </w:rPr>
        <w:t>3.</w:t>
      </w:r>
      <w:r w:rsidRPr="00700BC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>.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Рок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извр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>ш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ења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услуга</w:t>
      </w:r>
      <w:r w:rsidRPr="00700BC7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Рок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извр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>ш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ења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D3283" w:rsidRPr="00700BC7">
        <w:rPr>
          <w:rFonts w:ascii="Arial" w:hAnsi="Arial" w:cs="Arial"/>
          <w:b/>
          <w:bCs/>
          <w:sz w:val="22"/>
          <w:szCs w:val="22"/>
          <w:lang w:val="sr-Cyrl-RS" w:eastAsia="en-US"/>
        </w:rPr>
        <w:t>1</w:t>
      </w:r>
      <w:r w:rsidR="004D3283" w:rsidRPr="00700BC7">
        <w:rPr>
          <w:rFonts w:ascii="Arial" w:hAnsi="Arial" w:cs="Arial"/>
          <w:b/>
          <w:bCs/>
          <w:sz w:val="22"/>
          <w:szCs w:val="22"/>
          <w:lang w:val="sr-Latn-RS" w:eastAsia="en-US"/>
        </w:rPr>
        <w:t>8</w:t>
      </w:r>
      <w:r w:rsidR="004D3283" w:rsidRPr="00700BC7">
        <w:rPr>
          <w:rFonts w:ascii="Arial" w:hAnsi="Arial" w:cs="Arial"/>
          <w:b/>
          <w:bCs/>
          <w:sz w:val="22"/>
          <w:szCs w:val="22"/>
          <w:lang w:val="sr-Cyrl-RS" w:eastAsia="en-US"/>
        </w:rPr>
        <w:t>0</w:t>
      </w:r>
      <w:r w:rsidR="004D3283" w:rsidRPr="00700BC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4D3283" w:rsidRPr="00700BC7">
        <w:rPr>
          <w:rFonts w:ascii="Arial" w:hAnsi="Arial" w:cs="Arial"/>
          <w:b/>
          <w:sz w:val="22"/>
          <w:szCs w:val="22"/>
          <w:lang w:val="en-US" w:eastAsia="en-US"/>
        </w:rPr>
        <w:t>(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стоосамдесет</w:t>
      </w:r>
      <w:r w:rsidR="004D3283" w:rsidRPr="00700BC7">
        <w:rPr>
          <w:rFonts w:ascii="Arial" w:hAnsi="Arial" w:cs="Arial"/>
          <w:b/>
          <w:sz w:val="22"/>
          <w:szCs w:val="22"/>
          <w:lang w:val="en-US" w:eastAsia="en-US"/>
        </w:rPr>
        <w:t>)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ступања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снагу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4D3283" w:rsidRPr="00700BC7" w:rsidRDefault="00B212F1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Рок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почетак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извр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>ш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ења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3 (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три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ступања</w:t>
      </w:r>
      <w:r w:rsidR="004D3283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уговора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на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снагу</w:t>
      </w:r>
      <w:r w:rsidR="004D3283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.</w:t>
      </w:r>
    </w:p>
    <w:p w:rsidR="004D3283" w:rsidRPr="00700BC7" w:rsidRDefault="004D3283" w:rsidP="004D328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</w:p>
    <w:p w:rsidR="004D3283" w:rsidRPr="00700BC7" w:rsidRDefault="004D3283" w:rsidP="004D328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D3283" w:rsidRPr="00700BC7" w:rsidRDefault="004D3283" w:rsidP="004D328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bookmarkStart w:id="0" w:name="_Toc441651542"/>
      <w:bookmarkStart w:id="1" w:name="_Toc442559880"/>
      <w:r w:rsidRPr="00700BC7">
        <w:rPr>
          <w:rFonts w:ascii="Arial" w:eastAsia="Calibri" w:hAnsi="Arial" w:cs="Arial"/>
          <w:b/>
          <w:sz w:val="22"/>
          <w:szCs w:val="22"/>
          <w:lang w:val="sr-Cyrl-RS" w:eastAsia="en-US"/>
        </w:rPr>
        <w:lastRenderedPageBreak/>
        <w:t>3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Pr="00700BC7">
        <w:rPr>
          <w:rFonts w:ascii="Arial" w:eastAsia="Calibri" w:hAnsi="Arial" w:cs="Arial"/>
          <w:b/>
          <w:sz w:val="22"/>
          <w:szCs w:val="22"/>
          <w:lang w:val="sr-Cyrl-RS" w:eastAsia="en-US"/>
        </w:rPr>
        <w:t>3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Место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bookmarkEnd w:id="0"/>
      <w:bookmarkEnd w:id="1"/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извр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>ш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ења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услуга</w:t>
      </w:r>
      <w:r w:rsidRPr="00700BC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4D3283" w:rsidRPr="00700BC7" w:rsidRDefault="004D3283" w:rsidP="004D328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Богољуба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Уро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евића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Црног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бр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.44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11500 </w:t>
      </w:r>
      <w:r>
        <w:rPr>
          <w:rFonts w:ascii="Arial" w:hAnsi="Arial" w:cs="Arial"/>
          <w:sz w:val="22"/>
          <w:szCs w:val="22"/>
          <w:lang w:val="en-US" w:eastAsia="en-US"/>
        </w:rPr>
        <w:t>Обреновац</w:t>
      </w:r>
    </w:p>
    <w:p w:rsidR="004D3283" w:rsidRPr="00700BC7" w:rsidRDefault="00B212F1" w:rsidP="004D3283">
      <w:pPr>
        <w:tabs>
          <w:tab w:val="left" w:pos="4882"/>
        </w:tabs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ТЕНТ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Б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11509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У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ће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ab/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Колубара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11563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Велики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Црљени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Космајска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бб</w:t>
      </w:r>
    </w:p>
    <w:p w:rsidR="004D3283" w:rsidRPr="00700BC7" w:rsidRDefault="00B212F1" w:rsidP="004D3283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Морава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31250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Свилајнац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Кнеза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Мило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а</w:t>
      </w:r>
      <w:r w:rsidR="004D3283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бб</w:t>
      </w:r>
    </w:p>
    <w:p w:rsidR="004D3283" w:rsidRPr="00700BC7" w:rsidRDefault="004D3283" w:rsidP="004D3283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en-US" w:eastAsia="en-US"/>
        </w:rPr>
      </w:pPr>
      <w:r w:rsidRPr="00700BC7">
        <w:rPr>
          <w:rFonts w:ascii="Arial" w:hAnsi="Arial"/>
          <w:b/>
          <w:sz w:val="22"/>
          <w:szCs w:val="22"/>
          <w:lang w:val="sr-Cyrl-RS" w:eastAsia="en-US"/>
        </w:rPr>
        <w:t xml:space="preserve">3.4 </w:t>
      </w:r>
      <w:r w:rsidR="00B212F1">
        <w:rPr>
          <w:rFonts w:ascii="Arial" w:hAnsi="Arial"/>
          <w:b/>
          <w:sz w:val="22"/>
          <w:szCs w:val="22"/>
          <w:lang w:val="en-US" w:eastAsia="en-US"/>
        </w:rPr>
        <w:t>Квалитативни</w:t>
      </w:r>
      <w:r w:rsidRPr="00700BC7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hAnsi="Arial"/>
          <w:b/>
          <w:sz w:val="22"/>
          <w:szCs w:val="22"/>
          <w:lang w:val="en-US" w:eastAsia="en-US"/>
        </w:rPr>
        <w:t>пријем</w:t>
      </w:r>
    </w:p>
    <w:p w:rsidR="004D3283" w:rsidRPr="00700BC7" w:rsidRDefault="00B212F1" w:rsidP="004D328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Квалитативни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вр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приликом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пружања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присуству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овла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ћених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представника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праћење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Уговора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на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паритету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франко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пословни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објекти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Корисника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ЈП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ЕПС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Огранака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r>
        <w:rPr>
          <w:rFonts w:ascii="Arial" w:hAnsi="Arial" w:cs="Arial"/>
          <w:sz w:val="22"/>
          <w:szCs w:val="22"/>
          <w:lang w:val="en-US" w:eastAsia="en-US"/>
        </w:rPr>
        <w:t>ТЕНТ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Обреновац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Богољуба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Уро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евића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Црног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44 </w:t>
      </w:r>
    </w:p>
    <w:p w:rsidR="004D3283" w:rsidRPr="00700BC7" w:rsidRDefault="00B212F1" w:rsidP="004D328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случају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приликом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утврди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стварно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стање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одговара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квалитету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је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дужан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рекламацију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записнички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констатује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исту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одмах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достави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Изабраном</w:t>
      </w:r>
      <w:r w:rsidR="004D3283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понуђачу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року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5 (</w:t>
      </w:r>
      <w:r>
        <w:rPr>
          <w:rFonts w:ascii="Arial" w:hAnsi="Arial" w:cs="Arial"/>
          <w:sz w:val="22"/>
          <w:szCs w:val="22"/>
          <w:lang w:val="en-US" w:eastAsia="en-US"/>
        </w:rPr>
        <w:t>словима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:</w:t>
      </w:r>
      <w:r>
        <w:rPr>
          <w:rFonts w:ascii="Arial" w:hAnsi="Arial" w:cs="Arial"/>
          <w:sz w:val="22"/>
          <w:szCs w:val="22"/>
          <w:lang w:val="en-US" w:eastAsia="en-US"/>
        </w:rPr>
        <w:t>пет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r>
        <w:rPr>
          <w:rFonts w:ascii="Arial" w:hAnsi="Arial" w:cs="Arial"/>
          <w:sz w:val="22"/>
          <w:szCs w:val="22"/>
          <w:lang w:val="en-US" w:eastAsia="en-US"/>
        </w:rPr>
        <w:t>дана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4D3283" w:rsidRDefault="00B212F1" w:rsidP="004D3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n-US"/>
        </w:rPr>
        <w:t>Пружалац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се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обавезује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недостатке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установљене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стране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Корисника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приликом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квантитативног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квалитативног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отклони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року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10 (</w:t>
      </w:r>
      <w:r>
        <w:rPr>
          <w:rFonts w:ascii="Arial" w:hAnsi="Arial" w:cs="Arial"/>
          <w:sz w:val="22"/>
          <w:szCs w:val="22"/>
          <w:lang w:val="en-US" w:eastAsia="en-US"/>
        </w:rPr>
        <w:t>словима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>
        <w:rPr>
          <w:rFonts w:ascii="Arial" w:hAnsi="Arial" w:cs="Arial"/>
          <w:sz w:val="22"/>
          <w:szCs w:val="22"/>
          <w:lang w:val="en-US" w:eastAsia="en-US"/>
        </w:rPr>
        <w:t>десетдана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момента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пријема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рекламације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свом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тро</w:t>
      </w:r>
      <w:r w:rsidR="004D3283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ку</w:t>
      </w:r>
    </w:p>
    <w:p w:rsidR="004D3283" w:rsidRDefault="004D3283" w:rsidP="00466BAE">
      <w:pPr>
        <w:rPr>
          <w:rFonts w:ascii="Arial" w:hAnsi="Arial" w:cs="Arial"/>
          <w:b/>
          <w:sz w:val="22"/>
          <w:szCs w:val="22"/>
        </w:rPr>
      </w:pPr>
    </w:p>
    <w:p w:rsidR="004D3283" w:rsidRDefault="004D3283" w:rsidP="00466BAE">
      <w:pPr>
        <w:rPr>
          <w:rFonts w:ascii="Arial" w:hAnsi="Arial" w:cs="Arial"/>
          <w:b/>
          <w:sz w:val="22"/>
          <w:szCs w:val="22"/>
        </w:rPr>
      </w:pPr>
    </w:p>
    <w:p w:rsidR="004D3283" w:rsidRPr="008F764A" w:rsidRDefault="00B212F1" w:rsidP="00466BAE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sz w:val="22"/>
          <w:szCs w:val="22"/>
          <w:u w:val="single"/>
          <w:lang w:val="sr-Cyrl-RS"/>
        </w:rPr>
        <w:t>Треба</w:t>
      </w:r>
      <w:r w:rsidR="008F764A" w:rsidRPr="008F764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да</w:t>
      </w:r>
      <w:r w:rsidR="008F764A" w:rsidRPr="008F764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стоји</w:t>
      </w:r>
      <w:r w:rsidR="008F764A" w:rsidRPr="008F764A">
        <w:rPr>
          <w:rFonts w:ascii="Arial" w:hAnsi="Arial" w:cs="Arial"/>
          <w:b/>
          <w:sz w:val="22"/>
          <w:szCs w:val="22"/>
          <w:u w:val="single"/>
          <w:lang w:val="sr-Cyrl-RS"/>
        </w:rPr>
        <w:t>:</w:t>
      </w:r>
    </w:p>
    <w:p w:rsidR="004D3283" w:rsidRDefault="004D3283" w:rsidP="00466BAE">
      <w:pPr>
        <w:rPr>
          <w:rFonts w:ascii="Arial" w:hAnsi="Arial" w:cs="Arial"/>
          <w:b/>
          <w:sz w:val="22"/>
          <w:szCs w:val="22"/>
        </w:rPr>
      </w:pPr>
    </w:p>
    <w:p w:rsidR="008F764A" w:rsidRDefault="008F764A" w:rsidP="00466BAE">
      <w:pPr>
        <w:rPr>
          <w:rFonts w:ascii="Arial" w:hAnsi="Arial" w:cs="Arial"/>
          <w:b/>
          <w:sz w:val="22"/>
          <w:szCs w:val="22"/>
        </w:rPr>
      </w:pPr>
    </w:p>
    <w:p w:rsidR="008F764A" w:rsidRPr="00700BC7" w:rsidRDefault="00B212F1" w:rsidP="005F742A">
      <w:pPr>
        <w:numPr>
          <w:ilvl w:val="0"/>
          <w:numId w:val="2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</w:rPr>
        <w:t>ТЕХНИЧКА</w:t>
      </w:r>
      <w:r w:rsidR="005F742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СПЕЦИФИКАЦИЈА</w:t>
      </w:r>
    </w:p>
    <w:p w:rsidR="008F764A" w:rsidRPr="00700BC7" w:rsidRDefault="008F764A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0BC7">
        <w:rPr>
          <w:rFonts w:ascii="Arial" w:hAnsi="Arial"/>
          <w:b/>
          <w:sz w:val="22"/>
          <w:szCs w:val="22"/>
          <w:lang w:val="sr-Cyrl-RS"/>
        </w:rPr>
        <w:t xml:space="preserve">3.1 </w:t>
      </w:r>
      <w:r w:rsidR="00B212F1">
        <w:rPr>
          <w:rFonts w:ascii="Arial" w:hAnsi="Arial" w:cs="Arial"/>
          <w:sz w:val="22"/>
          <w:szCs w:val="22"/>
          <w:lang w:val="sr-Cyrl-RS" w:eastAsia="en-US"/>
        </w:rPr>
        <w:t>ОПШТИ</w:t>
      </w:r>
      <w:r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212F1">
        <w:rPr>
          <w:rFonts w:ascii="Arial" w:hAnsi="Arial" w:cs="Arial"/>
          <w:sz w:val="22"/>
          <w:szCs w:val="22"/>
          <w:lang w:val="sr-Cyrl-RS" w:eastAsia="en-US"/>
        </w:rPr>
        <w:t>ПОДАЦИ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8F764A" w:rsidRPr="00700BC7" w:rsidRDefault="00B212F1" w:rsidP="008F764A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Јавно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предузеће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„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Електропривреда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Србије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“,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Београд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;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„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Термоелектране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Никола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Тесла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Београд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Обреновац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улица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Богољуба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Уро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евића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Црног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44 (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даљем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тексту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Предмет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набавке</w:t>
      </w:r>
    </w:p>
    <w:p w:rsidR="008F764A" w:rsidRPr="00700BC7" w:rsidRDefault="00B212F1" w:rsidP="008F764A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Израда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ризика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лица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имовине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пословања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угрожености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елементраних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непогода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других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несрећа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спасавања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Планом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удеса</w:t>
      </w:r>
    </w:p>
    <w:p w:rsidR="008F764A" w:rsidRPr="00700BC7" w:rsidRDefault="00B212F1" w:rsidP="008F764A">
      <w:pPr>
        <w:spacing w:before="120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Циљ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: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Идентификација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потенцијалних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оцена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дефинисање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потребних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снага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средстава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превентивних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као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титу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лица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иовине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пословања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.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Предмет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јавне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набавке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ће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спроводи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ИИИ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фазе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8F764A" w:rsidRPr="00700BC7" w:rsidRDefault="00B212F1" w:rsidP="008F764A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Прва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фаза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ризика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лица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имовине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пословања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8F764A" w:rsidRPr="00700BC7" w:rsidRDefault="00B212F1" w:rsidP="008F764A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Друга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фаза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Процена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угрожености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елементраних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непогода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других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несрећа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8F764A" w:rsidRPr="00700BC7" w:rsidRDefault="00B212F1" w:rsidP="008F764A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Трећа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фаза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спасавања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Планом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удеса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УВОД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Огранку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„</w:t>
      </w:r>
      <w:r>
        <w:rPr>
          <w:rFonts w:ascii="Arial" w:hAnsi="Arial" w:cs="Arial"/>
          <w:sz w:val="22"/>
          <w:szCs w:val="22"/>
          <w:lang w:val="sr-Cyrl-RS" w:eastAsia="en-US"/>
        </w:rPr>
        <w:t>Термоелектране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Никола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Тесла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“, </w:t>
      </w:r>
      <w:r>
        <w:rPr>
          <w:rFonts w:ascii="Arial" w:hAnsi="Arial" w:cs="Arial"/>
          <w:sz w:val="22"/>
          <w:szCs w:val="22"/>
          <w:lang w:val="sr-Cyrl-RS" w:eastAsia="en-US"/>
        </w:rPr>
        <w:t>Београд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-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даљем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тексту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) </w:t>
      </w:r>
      <w:r>
        <w:rPr>
          <w:rFonts w:ascii="Arial" w:hAnsi="Arial" w:cs="Arial"/>
          <w:sz w:val="22"/>
          <w:szCs w:val="22"/>
          <w:lang w:val="sr-Cyrl-RS" w:eastAsia="en-US"/>
        </w:rPr>
        <w:t>налази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највећа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концентрација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електроенергетских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капацитета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Електропривреде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Србије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инсталисаном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снагом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3.285 </w:t>
      </w:r>
      <w:r>
        <w:rPr>
          <w:rFonts w:ascii="Arial" w:hAnsi="Arial" w:cs="Arial"/>
          <w:sz w:val="22"/>
          <w:szCs w:val="22"/>
          <w:lang w:val="sr-Cyrl-RS" w:eastAsia="en-US"/>
        </w:rPr>
        <w:t>мегавата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>
        <w:rPr>
          <w:rFonts w:ascii="Arial" w:hAnsi="Arial" w:cs="Arial"/>
          <w:sz w:val="22"/>
          <w:szCs w:val="22"/>
          <w:lang w:val="sr-Cyrl-RS" w:eastAsia="en-US"/>
        </w:rPr>
        <w:t>То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практично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значи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погони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Огранка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дају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75% </w:t>
      </w:r>
      <w:r>
        <w:rPr>
          <w:rFonts w:ascii="Arial" w:hAnsi="Arial" w:cs="Arial"/>
          <w:sz w:val="22"/>
          <w:szCs w:val="22"/>
          <w:lang w:val="sr-Cyrl-RS" w:eastAsia="en-US"/>
        </w:rPr>
        <w:t>производње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термоелектрана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односно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око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50% </w:t>
      </w:r>
      <w:r>
        <w:rPr>
          <w:rFonts w:ascii="Arial" w:hAnsi="Arial" w:cs="Arial"/>
          <w:sz w:val="22"/>
          <w:szCs w:val="22"/>
          <w:lang w:val="sr-Cyrl-RS" w:eastAsia="en-US"/>
        </w:rPr>
        <w:t>укупне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производње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електричне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енергије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ЕПС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-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>
        <w:rPr>
          <w:rFonts w:ascii="Arial" w:hAnsi="Arial" w:cs="Arial"/>
          <w:sz w:val="22"/>
          <w:szCs w:val="22"/>
          <w:lang w:val="sr-Cyrl-RS" w:eastAsia="en-US"/>
        </w:rPr>
        <w:t>Предузеће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свом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саставу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има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четири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активне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електране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14 </w:t>
      </w:r>
      <w:r>
        <w:rPr>
          <w:rFonts w:ascii="Arial" w:hAnsi="Arial" w:cs="Arial"/>
          <w:sz w:val="22"/>
          <w:szCs w:val="22"/>
          <w:lang w:val="sr-Cyrl-RS" w:eastAsia="en-US"/>
        </w:rPr>
        <w:t>блокова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- 6;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- 2; </w:t>
      </w:r>
      <w:r>
        <w:rPr>
          <w:rFonts w:ascii="Arial" w:hAnsi="Arial" w:cs="Arial"/>
          <w:sz w:val="22"/>
          <w:szCs w:val="22"/>
          <w:lang w:val="sr-Cyrl-RS" w:eastAsia="en-US"/>
        </w:rPr>
        <w:t>ТЕК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- 5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- 1), </w:t>
      </w:r>
      <w:r>
        <w:rPr>
          <w:rFonts w:ascii="Arial" w:hAnsi="Arial" w:cs="Arial"/>
          <w:sz w:val="22"/>
          <w:szCs w:val="22"/>
          <w:lang w:val="sr-Cyrl-RS" w:eastAsia="en-US"/>
        </w:rPr>
        <w:t>као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Железнички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транспорт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укупно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око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100 </w:t>
      </w:r>
      <w:r>
        <w:rPr>
          <w:rFonts w:ascii="Arial" w:hAnsi="Arial" w:cs="Arial"/>
          <w:sz w:val="22"/>
          <w:szCs w:val="22"/>
          <w:lang w:val="sr-Cyrl-RS" w:eastAsia="en-US"/>
        </w:rPr>
        <w:t>км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колосека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Полазећи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чињенице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је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одлуком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Владе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РС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прогла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ен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предузеће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посебног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инереса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одбрану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земље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који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испоручује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око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50 % </w:t>
      </w:r>
      <w:r>
        <w:rPr>
          <w:rFonts w:ascii="Arial" w:hAnsi="Arial" w:cs="Arial"/>
          <w:sz w:val="22"/>
          <w:szCs w:val="22"/>
          <w:lang w:eastAsia="en-US"/>
        </w:rPr>
        <w:t>електричне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енергије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Србији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јасно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је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какав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заначај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он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има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привреди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Србије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овог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објекта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треба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посветити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посебну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пажњу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>Главни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предмет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Огранку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представљају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људски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потом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основна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делатност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материјалним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ресурсима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Под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титом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људских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поред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запослених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Огранку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подразумевају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запослени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извођача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радова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странке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странци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пословни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партнери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Под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титом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материјалних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ресурса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подразумева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тита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објеката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који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виталне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важности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основну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делатност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Огранка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(</w:t>
      </w:r>
      <w:r>
        <w:rPr>
          <w:rFonts w:ascii="Arial" w:hAnsi="Arial" w:cs="Arial"/>
          <w:sz w:val="22"/>
          <w:szCs w:val="22"/>
          <w:lang w:eastAsia="en-US"/>
        </w:rPr>
        <w:t>производња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термоелектричне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енергије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), </w:t>
      </w:r>
      <w:r>
        <w:rPr>
          <w:rFonts w:ascii="Arial" w:hAnsi="Arial" w:cs="Arial"/>
          <w:sz w:val="22"/>
          <w:szCs w:val="22"/>
          <w:lang w:eastAsia="en-US"/>
        </w:rPr>
        <w:t>односно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објеката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чијим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би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уни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тењем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тећењем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или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уклањањем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ш</w:t>
      </w:r>
      <w:r>
        <w:rPr>
          <w:rFonts w:ascii="Arial" w:hAnsi="Arial" w:cs="Arial"/>
          <w:sz w:val="22"/>
          <w:szCs w:val="22"/>
          <w:lang w:eastAsia="en-US"/>
        </w:rPr>
        <w:t>ло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до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битног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поремећаја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целокупног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пословања</w:t>
      </w:r>
      <w:r w:rsidR="008F764A" w:rsidRPr="00700BC7">
        <w:rPr>
          <w:rFonts w:ascii="Arial" w:hAnsi="Arial" w:cs="Arial"/>
          <w:sz w:val="22"/>
          <w:szCs w:val="22"/>
          <w:lang w:eastAsia="en-U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Како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је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основан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ради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обезбеђивања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услова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редовно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сигурно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снабдевање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електричном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енергијом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оријентисано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обезбеђивање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континуитета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пословању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свим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условима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неопходно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је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створити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услове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остварење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пословне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политике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сегменту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који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се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односи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безбедност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пословања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ванредним</w:t>
      </w:r>
      <w:r w:rsidR="008F764A" w:rsidRPr="00700BC7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ситуацијама</w:t>
      </w:r>
      <w:r w:rsidR="008F764A" w:rsidRPr="00700BC7">
        <w:rPr>
          <w:rFonts w:ascii="Arial" w:hAnsi="Arial" w:cs="Arial"/>
          <w:bCs/>
          <w:iCs/>
          <w:sz w:val="22"/>
          <w:szCs w:val="22"/>
          <w:lang w:val="sr-Cyrl-RS" w:eastAsia="en-U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Закону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Републике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Србије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Службени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гласник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РС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“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број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(111/2009, 92/2011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93/2012),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представља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ризици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претње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последице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катастрофа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догађаја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других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становни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тво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животну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средину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материјална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добра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таквог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обима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интензитета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њихов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настанак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последице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није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могуће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спречити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отклонити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редовним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деловањем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надлежних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органа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због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чега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њихово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ублажавање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отклањање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неопходно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употребити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посебне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снаге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средства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уз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појачан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режим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рада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обзиром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пројектовано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твено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одговорно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групи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ЕПС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самим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,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претпоставља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припреме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превенцију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реаговање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неопходно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складу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Уредбом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садржају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начину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планова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("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Службени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гласник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РС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",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бр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8/2011)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Упутством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методологији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процене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угрожености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планова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("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Службени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гласник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РС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",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бр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8/2017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)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Процену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угрожености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елементарних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непогода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других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несрећа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дефинисати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основне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елементе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израду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.</w:t>
      </w:r>
    </w:p>
    <w:p w:rsidR="008F764A" w:rsidRPr="00700BC7" w:rsidRDefault="00B212F1" w:rsidP="008F764A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  <w:szCs w:val="22"/>
          <w:lang w:val="sr-Cyrl-RS" w:eastAsia="en-US"/>
        </w:rPr>
      </w:pPr>
      <w:r>
        <w:rPr>
          <w:rFonts w:ascii="Arial MT" w:hAnsi="Arial MT"/>
          <w:b/>
          <w:color w:val="000000"/>
          <w:sz w:val="22"/>
          <w:szCs w:val="22"/>
          <w:lang w:val="sr-Cyrl-RS" w:eastAsia="en-US"/>
        </w:rPr>
        <w:t>ПОСТОЈЕЋЕ</w:t>
      </w:r>
      <w:r w:rsidR="008F764A" w:rsidRPr="00700BC7">
        <w:rPr>
          <w:rFonts w:ascii="Arial MT" w:hAnsi="Arial MT"/>
          <w:b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b/>
          <w:color w:val="000000"/>
          <w:sz w:val="22"/>
          <w:szCs w:val="22"/>
          <w:lang w:val="sr-Cyrl-RS" w:eastAsia="en-US"/>
        </w:rPr>
        <w:t>СТАЊЕ</w:t>
      </w:r>
    </w:p>
    <w:p w:rsidR="008F764A" w:rsidRPr="00700BC7" w:rsidRDefault="00B212F1" w:rsidP="008F764A">
      <w:pPr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Arial MT" w:hAnsi="Arial MT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нема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израђену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процену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ризика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тити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лица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имовине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пословања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скалду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Националним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стандардом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hAnsi="Arial" w:cs="Arial"/>
        </w:rPr>
        <w:t>СРПС</w:t>
      </w:r>
      <w:r w:rsidR="008F764A" w:rsidRPr="00700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8F764A" w:rsidRPr="00700BC7">
        <w:rPr>
          <w:rFonts w:ascii="Arial" w:hAnsi="Arial" w:cs="Arial"/>
        </w:rPr>
        <w:t>.</w:t>
      </w:r>
      <w:r>
        <w:rPr>
          <w:rFonts w:ascii="Arial" w:hAnsi="Arial" w:cs="Arial"/>
        </w:rPr>
        <w:t>Л</w:t>
      </w:r>
      <w:r w:rsidR="008F764A" w:rsidRPr="00700BC7">
        <w:rPr>
          <w:rFonts w:ascii="Arial" w:hAnsi="Arial" w:cs="Arial"/>
        </w:rPr>
        <w:t>2.003:2017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Безбедност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отпорност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-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Процена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ризика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(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даљем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тексту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Национални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стандард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8F764A" w:rsidRPr="00700BC7" w:rsidRDefault="008F764A" w:rsidP="008F764A">
      <w:pPr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700BC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као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ни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процену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угрожености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складу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са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Законом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ванредним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ситуацијама</w:t>
      </w:r>
      <w:r w:rsidRPr="00700BC7">
        <w:rPr>
          <w:rFonts w:ascii="Arial MT" w:hAnsi="Arial MT"/>
          <w:sz w:val="22"/>
          <w:szCs w:val="22"/>
          <w:lang w:val="en-US" w:eastAsia="en-US"/>
        </w:rPr>
        <w:t>, ш</w:t>
      </w:r>
      <w:r w:rsidR="00B212F1">
        <w:rPr>
          <w:rFonts w:ascii="Arial MT" w:hAnsi="Arial MT"/>
          <w:sz w:val="22"/>
          <w:szCs w:val="22"/>
          <w:lang w:val="en-US" w:eastAsia="en-US"/>
        </w:rPr>
        <w:t>то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значајно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увећава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ризике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доприноси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повећању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потенцијалних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негативних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последица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пословање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ТЕНТ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 w:rsidR="00B212F1">
        <w:rPr>
          <w:rFonts w:ascii="Arial MT" w:hAnsi="Arial MT"/>
          <w:sz w:val="22"/>
          <w:szCs w:val="22"/>
          <w:lang w:val="en-US" w:eastAsia="en-US"/>
        </w:rPr>
        <w:t>али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и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указује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да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Огранак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ТЕНТ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тренутно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не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испуњава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обавезе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en-US" w:eastAsia="en-US"/>
        </w:rPr>
        <w:t>предвиђене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законским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и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подзаконским</w:t>
      </w:r>
      <w:r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 w:rsidR="00B212F1">
        <w:rPr>
          <w:rFonts w:ascii="Arial MT" w:hAnsi="Arial MT"/>
          <w:sz w:val="22"/>
          <w:szCs w:val="22"/>
          <w:lang w:val="sr-Cyrl-RS" w:eastAsia="en-US"/>
        </w:rPr>
        <w:t>прописима</w:t>
      </w:r>
      <w:r w:rsidRPr="00700BC7">
        <w:rPr>
          <w:rFonts w:ascii="Arial MT" w:hAnsi="Arial MT"/>
          <w:sz w:val="22"/>
          <w:szCs w:val="22"/>
          <w:lang w:val="en-US" w:eastAsia="en-US"/>
        </w:rPr>
        <w:t xml:space="preserve">. 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има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урађене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имплементиране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обавезе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из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области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пожара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складу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законским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подзаконским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прописима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(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је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сврстан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категорију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угрожености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пожара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свом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саставу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поседује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следеће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објекте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производне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локације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): </w:t>
      </w:r>
    </w:p>
    <w:p w:rsidR="008F764A" w:rsidRPr="00700BC7" w:rsidRDefault="00B212F1" w:rsidP="008F764A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Никола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Тесла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Обреновац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8F764A" w:rsidRPr="00700BC7" w:rsidRDefault="00B212F1" w:rsidP="008F764A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lastRenderedPageBreak/>
        <w:t>Термоелектрана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Никола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Тесла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Latn-RS"/>
        </w:rPr>
        <w:t>Б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ће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Б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8F764A" w:rsidRPr="00700BC7" w:rsidRDefault="00B212F1" w:rsidP="008F764A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Колубара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Велики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Црљени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8F764A" w:rsidRPr="00700BC7" w:rsidRDefault="00B212F1" w:rsidP="008F764A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Термоелектрана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Морава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Свилајнац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);</w:t>
      </w:r>
    </w:p>
    <w:p w:rsidR="008F764A" w:rsidRPr="00700BC7" w:rsidRDefault="00B212F1" w:rsidP="008F764A">
      <w:pPr>
        <w:numPr>
          <w:ilvl w:val="0"/>
          <w:numId w:val="13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Железнички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транспорт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даљем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тексту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ЖТ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)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ЗАДАТАК</w:t>
      </w:r>
      <w:r w:rsidR="008F764A" w:rsidRPr="00700BC7"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УСЛУГЕ</w:t>
      </w:r>
    </w:p>
    <w:p w:rsidR="008F764A" w:rsidRPr="00700BC7" w:rsidRDefault="00B212F1" w:rsidP="008F764A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 MT" w:hAnsi="Arial MT"/>
          <w:sz w:val="22"/>
          <w:szCs w:val="22"/>
          <w:lang w:val="en-US" w:eastAsia="en-US"/>
        </w:rPr>
      </w:pPr>
      <w:r>
        <w:rPr>
          <w:rFonts w:ascii="Arial MT" w:hAnsi="Arial MT"/>
          <w:sz w:val="22"/>
          <w:szCs w:val="22"/>
          <w:lang w:val="en-US" w:eastAsia="en-US"/>
        </w:rPr>
        <w:t>Основни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задатак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је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Процена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ризика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тити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лица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имовине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пословања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П</w:t>
      </w:r>
      <w:r>
        <w:rPr>
          <w:rFonts w:ascii="Arial MT" w:hAnsi="Arial MT"/>
          <w:sz w:val="22"/>
          <w:szCs w:val="22"/>
          <w:lang w:val="en-US" w:eastAsia="en-US"/>
        </w:rPr>
        <w:t>роцена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угрожености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од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елементарних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непогода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других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несрећа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којом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се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дефини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>ш</w:t>
      </w:r>
      <w:r>
        <w:rPr>
          <w:rFonts w:ascii="Arial MT" w:hAnsi="Arial MT"/>
          <w:sz w:val="22"/>
          <w:szCs w:val="22"/>
          <w:lang w:val="en-US" w:eastAsia="en-US"/>
        </w:rPr>
        <w:t>у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положај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карактеристике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локација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објеката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могућа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угроженост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критичне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инфраструктуре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идентификуј</w:t>
      </w:r>
      <w:r>
        <w:rPr>
          <w:rFonts w:ascii="Arial MT" w:hAnsi="Arial MT"/>
          <w:sz w:val="22"/>
          <w:szCs w:val="22"/>
          <w:lang w:val="sr-Cyrl-RS" w:eastAsia="en-US"/>
        </w:rPr>
        <w:t>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опасности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процењују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ризици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дефини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>ш</w:t>
      </w:r>
      <w:r>
        <w:rPr>
          <w:rFonts w:ascii="Arial MT" w:hAnsi="Arial MT"/>
          <w:sz w:val="22"/>
          <w:szCs w:val="22"/>
          <w:lang w:val="en-US" w:eastAsia="en-US"/>
        </w:rPr>
        <w:t>у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потребне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снаге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, </w:t>
      </w:r>
      <w:r>
        <w:rPr>
          <w:rFonts w:ascii="Arial MT" w:hAnsi="Arial MT"/>
          <w:sz w:val="22"/>
          <w:szCs w:val="22"/>
          <w:lang w:val="en-US" w:eastAsia="en-US"/>
        </w:rPr>
        <w:t>средства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превентивне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мере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за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за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>ш</w:t>
      </w:r>
      <w:r>
        <w:rPr>
          <w:rFonts w:ascii="Arial MT" w:hAnsi="Arial MT"/>
          <w:sz w:val="22"/>
          <w:szCs w:val="22"/>
          <w:lang w:val="en-US" w:eastAsia="en-US"/>
        </w:rPr>
        <w:t>титу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спасавање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од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елементарних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непогода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других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 </w:t>
      </w:r>
      <w:r>
        <w:rPr>
          <w:rFonts w:ascii="Arial MT" w:hAnsi="Arial MT"/>
          <w:sz w:val="22"/>
          <w:szCs w:val="22"/>
          <w:lang w:val="en-US" w:eastAsia="en-US"/>
        </w:rPr>
        <w:t>несрећа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, </w:t>
      </w:r>
      <w:r>
        <w:rPr>
          <w:rFonts w:ascii="Arial MT" w:hAnsi="Arial MT"/>
          <w:sz w:val="22"/>
          <w:szCs w:val="22"/>
          <w:lang w:val="sr-Cyrl-RS" w:eastAsia="en-US"/>
        </w:rPr>
        <w:t>као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израда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Плана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и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спасавања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са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Планом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за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>ш</w:t>
      </w:r>
      <w:r>
        <w:rPr>
          <w:rFonts w:ascii="Arial MT" w:hAnsi="Arial MT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од</w:t>
      </w:r>
      <w:r w:rsidR="008F764A" w:rsidRPr="00700BC7">
        <w:rPr>
          <w:rFonts w:ascii="Arial MT" w:hAnsi="Arial MT"/>
          <w:sz w:val="22"/>
          <w:szCs w:val="22"/>
          <w:lang w:val="sr-Cyrl-RS" w:eastAsia="en-US"/>
        </w:rPr>
        <w:t xml:space="preserve"> </w:t>
      </w:r>
      <w:r>
        <w:rPr>
          <w:rFonts w:ascii="Arial MT" w:hAnsi="Arial MT"/>
          <w:sz w:val="22"/>
          <w:szCs w:val="22"/>
          <w:lang w:val="sr-Cyrl-RS" w:eastAsia="en-US"/>
        </w:rPr>
        <w:t>удеса</w:t>
      </w:r>
      <w:r w:rsidR="008F764A" w:rsidRPr="00700BC7">
        <w:rPr>
          <w:rFonts w:ascii="Arial MT" w:hAnsi="Arial MT"/>
          <w:sz w:val="22"/>
          <w:szCs w:val="22"/>
          <w:lang w:val="en-US" w:eastAsia="en-US"/>
        </w:rPr>
        <w:t xml:space="preserve">. </w:t>
      </w:r>
    </w:p>
    <w:p w:rsidR="008F764A" w:rsidRPr="00700BC7" w:rsidRDefault="00B212F1" w:rsidP="008F764A">
      <w:pPr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Резултат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задатка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 w:eastAsia="en-US"/>
        </w:rPr>
        <w:t>су</w:t>
      </w:r>
      <w:r w:rsidR="008F764A" w:rsidRPr="00700BC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израђени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Процена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sz w:val="22"/>
          <w:szCs w:val="22"/>
          <w:lang w:val="sr-Cyrl-RS" w:eastAsia="en-US"/>
        </w:rPr>
        <w:t>тити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лица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имовине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пословања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П</w:t>
      </w:r>
      <w:r>
        <w:rPr>
          <w:rFonts w:ascii="Arial" w:hAnsi="Arial" w:cs="Arial"/>
          <w:sz w:val="22"/>
          <w:szCs w:val="22"/>
          <w:lang w:val="en-US" w:eastAsia="en-US"/>
        </w:rPr>
        <w:t>роцена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угрожености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елементарних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непогода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других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несрећа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План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спасавања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ванредним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ситуацијама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Планом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удеса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то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Огранак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изводима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сваку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производну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локацију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ОБИМ</w:t>
      </w:r>
      <w:r w:rsidR="008F764A" w:rsidRPr="00700BC7"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t>УСЛУГЕ</w:t>
      </w:r>
    </w:p>
    <w:p w:rsidR="008F764A" w:rsidRPr="00700BC7" w:rsidRDefault="00B212F1" w:rsidP="008F764A">
      <w:pPr>
        <w:numPr>
          <w:ilvl w:val="0"/>
          <w:numId w:val="21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Процена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ризика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у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за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ш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тити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лица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,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имовине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пословања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нестабилном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динамичном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привредном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учестали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разноврсни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глобални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ризици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резултирају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бројним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кризним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ситуацијама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нису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тићене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највеће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најмоћније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компаније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Привредни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субјекти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одговарајући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начин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припремљени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могуће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ситуације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стању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многе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благовремено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предвиде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спрече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уоче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раном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стадијуму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онемогуће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њихов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развој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пак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акутној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примене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најадекватније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контрамере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>,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скрате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време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трајања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њене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последице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Први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корак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процесу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идентификације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оцене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превенције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кризних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ситуација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Процена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се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данас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одвија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сагласно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строгим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стручним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научним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принципима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прецизним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методама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процедурама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Усвајањем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Н</w:t>
      </w:r>
      <w:r>
        <w:rPr>
          <w:rFonts w:ascii="Arial" w:hAnsi="Arial" w:cs="Arial"/>
          <w:sz w:val="22"/>
          <w:szCs w:val="22"/>
          <w:lang w:val="en" w:eastAsia="sr-Latn-RS"/>
        </w:rPr>
        <w:t>ационалног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створен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солидан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основ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препознавање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оцену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рангирање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квантификацију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релевантних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корпоративну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Национални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јединствен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инструмент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омогућава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глобалан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приступ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јер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његова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методологија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подразумева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анализу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оцену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аспеката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корпоративне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менаџмента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ћу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здрављем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раду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преко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тите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од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пожара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њу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нормативн</w:t>
      </w:r>
      <w:r>
        <w:rPr>
          <w:rFonts w:ascii="Arial" w:hAnsi="Arial" w:cs="Arial"/>
          <w:sz w:val="22"/>
          <w:szCs w:val="22"/>
          <w:lang w:val="sr-Cyrl-RS" w:eastAsia="sr-Latn-RS"/>
        </w:rPr>
        <w:t>о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>-</w:t>
      </w:r>
      <w:r>
        <w:rPr>
          <w:rFonts w:ascii="Arial" w:hAnsi="Arial" w:cs="Arial"/>
          <w:sz w:val="22"/>
          <w:szCs w:val="22"/>
          <w:lang w:val="sr-Cyrl-RS" w:eastAsia="sr-Latn-RS"/>
        </w:rPr>
        <w:t>правну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регулативу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противправно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деловање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унутар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/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предузећа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Резултат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примене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методологије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стандарда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приказ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потенцијалних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класификованих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нумерички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изражених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уз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предлог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јасних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њихово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смањивање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елиминисање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Израда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процене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методологији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Н</w:t>
      </w:r>
      <w:r>
        <w:rPr>
          <w:rFonts w:ascii="Arial" w:hAnsi="Arial" w:cs="Arial"/>
          <w:sz w:val="22"/>
          <w:szCs w:val="22"/>
          <w:lang w:val="en" w:eastAsia="sr-Latn-RS"/>
        </w:rPr>
        <w:t>ационалног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одвијала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кроз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три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:</w:t>
      </w:r>
    </w:p>
    <w:p w:rsidR="008F764A" w:rsidRPr="00700BC7" w:rsidRDefault="008F764A" w:rsidP="008F764A">
      <w:pPr>
        <w:suppressAutoHyphens w:val="0"/>
        <w:spacing w:before="120"/>
        <w:jc w:val="both"/>
        <w:rPr>
          <w:rFonts w:ascii="Arial" w:hAnsi="Arial" w:cs="Arial"/>
          <w:sz w:val="10"/>
          <w:szCs w:val="10"/>
          <w:lang w:val="sr-Cyrl-RS" w:eastAsia="sr-Latn-RS"/>
        </w:rPr>
      </w:pPr>
    </w:p>
    <w:p w:rsidR="008F764A" w:rsidRPr="00700BC7" w:rsidRDefault="00B212F1" w:rsidP="008F764A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прецизно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идентификовање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потенцијалних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лица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имовине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пословања</w:t>
      </w:r>
    </w:p>
    <w:p w:rsidR="008F764A" w:rsidRPr="00700BC7" w:rsidRDefault="00B212F1" w:rsidP="008F764A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израчунавање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величине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сваку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појединачно</w:t>
      </w:r>
    </w:p>
    <w:p w:rsidR="008F764A" w:rsidRPr="00700BC7" w:rsidRDefault="00B212F1" w:rsidP="008F764A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предлагање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третман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процењених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</w:p>
    <w:p w:rsidR="008F764A" w:rsidRDefault="008F764A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</w:p>
    <w:p w:rsidR="00B212F1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</w:p>
    <w:p w:rsidR="00B212F1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lastRenderedPageBreak/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оквиру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прве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пројекта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еслојна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темељна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анализа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нормативних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аката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техничких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ресурса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људских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капацитета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складу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методологијом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Н</w:t>
      </w:r>
      <w:r>
        <w:rPr>
          <w:rFonts w:ascii="Arial" w:hAnsi="Arial" w:cs="Arial"/>
          <w:sz w:val="22"/>
          <w:szCs w:val="22"/>
          <w:lang w:val="en" w:eastAsia="sr-Latn-RS"/>
        </w:rPr>
        <w:t>ационалног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стандарда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оквиру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ове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идентификација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следећих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категорија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:</w:t>
      </w:r>
    </w:p>
    <w:p w:rsidR="008F764A" w:rsidRPr="00700BC7" w:rsidRDefault="008F764A" w:rsidP="008F764A">
      <w:pPr>
        <w:suppressAutoHyphens w:val="0"/>
        <w:spacing w:before="120"/>
        <w:jc w:val="both"/>
        <w:rPr>
          <w:rFonts w:ascii="Arial" w:hAnsi="Arial" w:cs="Arial"/>
          <w:sz w:val="10"/>
          <w:szCs w:val="10"/>
          <w:lang w:val="sr-Cyrl-RS" w:eastAsia="sr-Latn-RS"/>
        </w:rPr>
      </w:pP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оп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тих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пословних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активности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безбедност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здравље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раду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правни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противправног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деловања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пожара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елементарних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непогода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других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несрећа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експлозија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животну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средину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процесу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управљања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људским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ресурсима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ризици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области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информационо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комуникационо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телекомуникационој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области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</w:p>
    <w:p w:rsidR="008F764A" w:rsidRPr="00700BC7" w:rsidRDefault="00B212F1" w:rsidP="008F764A">
      <w:pPr>
        <w:numPr>
          <w:ilvl w:val="0"/>
          <w:numId w:val="24"/>
        </w:num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к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ритеријуми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идентификацију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ризика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неусагла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>ш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ености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са</w:t>
      </w:r>
      <w:r w:rsidR="008F764A" w:rsidRPr="00700BC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стандардима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Друга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пројекта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подразумева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прецизну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квантификацију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категорија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додељивање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одговарајућих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номиналних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вредности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складу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затеченим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стањем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Ова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подразумева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израчунавање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нумеричке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величине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свакој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наведених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категорија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уз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јасан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прегледан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графички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приказ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процењених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овај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начин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добија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систематичан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преглед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евентуалних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недостатака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слобости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пропуста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производе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одређен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њено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пословање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запослене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имовину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.</w:t>
      </w:r>
    </w:p>
    <w:p w:rsidR="008F764A" w:rsidRDefault="00B212F1" w:rsidP="008F764A">
      <w:pPr>
        <w:shd w:val="clear" w:color="auto" w:fill="FAFAFA"/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" w:eastAsia="sr-Latn-RS"/>
        </w:rPr>
      </w:pPr>
      <w:r>
        <w:rPr>
          <w:rFonts w:ascii="Arial" w:hAnsi="Arial" w:cs="Arial"/>
          <w:sz w:val="22"/>
          <w:szCs w:val="22"/>
          <w:lang w:val="en" w:eastAsia="sr-Latn-RS"/>
        </w:rPr>
        <w:t>Трећа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пројекта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резултира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израдом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предлога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радњи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отклањање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услова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узрока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који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производе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лица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имовину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пословање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организације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sr-Latn-RS"/>
        </w:rPr>
        <w:t>односно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ова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фаза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пружа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конкретне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смернице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превенцију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смањење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анализираних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ризика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. </w:t>
      </w:r>
    </w:p>
    <w:p w:rsidR="0044286E" w:rsidRPr="00B212F1" w:rsidRDefault="00B212F1" w:rsidP="0044286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212F1">
        <w:rPr>
          <w:rFonts w:ascii="Arial" w:hAnsi="Arial" w:cs="Arial"/>
          <w:b/>
          <w:sz w:val="22"/>
          <w:szCs w:val="22"/>
        </w:rPr>
        <w:t>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складу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са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Правилником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о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начину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вршења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послова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техничке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заштите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и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коришћења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техничких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средстава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(„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Службени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гласник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РС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”,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број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19/15 </w:t>
      </w:r>
      <w:r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и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44286E" w:rsidRPr="00B212F1">
        <w:rPr>
          <w:rFonts w:ascii="Arial" w:hAnsi="Arial" w:cs="Arial"/>
          <w:b/>
          <w:sz w:val="22"/>
          <w:szCs w:val="22"/>
          <w:lang w:val="en-US"/>
        </w:rPr>
        <w:t>71/2017</w:t>
      </w:r>
      <w:r w:rsidR="0044286E" w:rsidRPr="00B212F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)</w:t>
      </w:r>
      <w:r w:rsidR="0044286E" w:rsidRPr="00B212F1">
        <w:rPr>
          <w:rFonts w:ascii="Arial" w:hAnsi="Arial" w:cs="Arial"/>
          <w:b/>
          <w:sz w:val="22"/>
          <w:szCs w:val="22"/>
          <w:lang w:val="en-US"/>
        </w:rPr>
        <w:t>,</w:t>
      </w:r>
    </w:p>
    <w:p w:rsidR="0044286E" w:rsidRPr="00B212F1" w:rsidRDefault="00B212F1" w:rsidP="0044286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212F1">
        <w:rPr>
          <w:rFonts w:ascii="Arial" w:hAnsi="Arial" w:cs="Arial"/>
          <w:b/>
          <w:sz w:val="22"/>
          <w:szCs w:val="22"/>
        </w:rPr>
        <w:t>потребно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је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извршити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категоризацију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штићеног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објеката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једну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од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5 (</w:t>
      </w:r>
      <w:r w:rsidRPr="00B212F1">
        <w:rPr>
          <w:rFonts w:ascii="Arial" w:hAnsi="Arial" w:cs="Arial"/>
          <w:b/>
          <w:sz w:val="22"/>
          <w:szCs w:val="22"/>
        </w:rPr>
        <w:t>пет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) </w:t>
      </w:r>
      <w:r w:rsidRPr="00B212F1">
        <w:rPr>
          <w:rFonts w:ascii="Arial" w:hAnsi="Arial" w:cs="Arial"/>
          <w:b/>
          <w:sz w:val="22"/>
          <w:szCs w:val="22"/>
        </w:rPr>
        <w:t>категорија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, </w:t>
      </w:r>
      <w:r w:rsidRPr="00B212F1">
        <w:rPr>
          <w:rFonts w:ascii="Arial" w:hAnsi="Arial" w:cs="Arial"/>
          <w:b/>
          <w:sz w:val="22"/>
          <w:szCs w:val="22"/>
        </w:rPr>
        <w:t>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складу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са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резултатима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Процене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ризика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заштити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лица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, </w:t>
      </w:r>
      <w:r w:rsidRPr="00B212F1">
        <w:rPr>
          <w:rFonts w:ascii="Arial" w:hAnsi="Arial" w:cs="Arial"/>
          <w:b/>
          <w:sz w:val="22"/>
          <w:szCs w:val="22"/>
        </w:rPr>
        <w:t>имовине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и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пословања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, </w:t>
      </w:r>
      <w:r w:rsidRPr="00B212F1">
        <w:rPr>
          <w:rFonts w:ascii="Arial" w:hAnsi="Arial" w:cs="Arial"/>
          <w:b/>
          <w:sz w:val="22"/>
          <w:szCs w:val="22"/>
        </w:rPr>
        <w:t>и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то</w:t>
      </w:r>
      <w:r w:rsidR="0044286E" w:rsidRPr="00B212F1">
        <w:rPr>
          <w:rFonts w:ascii="Arial" w:hAnsi="Arial" w:cs="Arial"/>
          <w:b/>
          <w:sz w:val="22"/>
          <w:szCs w:val="22"/>
        </w:rPr>
        <w:t>:</w:t>
      </w:r>
    </w:p>
    <w:p w:rsidR="0044286E" w:rsidRPr="00B212F1" w:rsidRDefault="0044286E" w:rsidP="004428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B212F1">
        <w:rPr>
          <w:rFonts w:ascii="Arial" w:hAnsi="Arial" w:cs="Arial"/>
          <w:b/>
          <w:sz w:val="22"/>
          <w:szCs w:val="22"/>
        </w:rPr>
        <w:t xml:space="preserve">1) </w:t>
      </w:r>
      <w:r w:rsidR="00B212F1" w:rsidRPr="00B212F1">
        <w:rPr>
          <w:rFonts w:ascii="Arial" w:hAnsi="Arial" w:cs="Arial"/>
          <w:b/>
          <w:sz w:val="22"/>
          <w:szCs w:val="22"/>
        </w:rPr>
        <w:t>I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категорију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НАЈВИШИ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СТЕПЕН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ЗАШТИТЕ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утврђено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постојање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изразито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великог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ризика</w:t>
      </w:r>
      <w:r w:rsidRPr="00B212F1">
        <w:rPr>
          <w:rFonts w:ascii="Arial" w:hAnsi="Arial" w:cs="Arial"/>
          <w:b/>
          <w:sz w:val="22"/>
          <w:szCs w:val="22"/>
        </w:rPr>
        <w:t>;</w:t>
      </w:r>
    </w:p>
    <w:p w:rsidR="0044286E" w:rsidRPr="00B212F1" w:rsidRDefault="0044286E" w:rsidP="004428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2F1">
        <w:rPr>
          <w:rFonts w:ascii="Arial" w:hAnsi="Arial" w:cs="Arial"/>
          <w:b/>
          <w:sz w:val="22"/>
          <w:szCs w:val="22"/>
        </w:rPr>
        <w:t xml:space="preserve">2) </w:t>
      </w:r>
      <w:r w:rsidR="00B212F1" w:rsidRPr="00B212F1">
        <w:rPr>
          <w:rFonts w:ascii="Arial" w:hAnsi="Arial" w:cs="Arial"/>
          <w:b/>
          <w:sz w:val="22"/>
          <w:szCs w:val="22"/>
        </w:rPr>
        <w:t>II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категорију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ВИСОКИ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СТЕПЕН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ЗАШТИТЕ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утврђено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постојање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великог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ризика</w:t>
      </w:r>
      <w:r w:rsidRPr="00B212F1">
        <w:rPr>
          <w:rFonts w:ascii="Arial" w:hAnsi="Arial" w:cs="Arial"/>
          <w:b/>
          <w:sz w:val="22"/>
          <w:szCs w:val="22"/>
        </w:rPr>
        <w:t>;</w:t>
      </w:r>
    </w:p>
    <w:p w:rsidR="0044286E" w:rsidRPr="00B212F1" w:rsidRDefault="0044286E" w:rsidP="004428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2F1">
        <w:rPr>
          <w:rFonts w:ascii="Arial" w:hAnsi="Arial" w:cs="Arial"/>
          <w:b/>
          <w:sz w:val="22"/>
          <w:szCs w:val="22"/>
        </w:rPr>
        <w:t xml:space="preserve">3) </w:t>
      </w:r>
      <w:r w:rsidR="00B212F1" w:rsidRPr="00B212F1">
        <w:rPr>
          <w:rFonts w:ascii="Arial" w:hAnsi="Arial" w:cs="Arial"/>
          <w:b/>
          <w:sz w:val="22"/>
          <w:szCs w:val="22"/>
        </w:rPr>
        <w:t>III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категорију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ВИШИ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СТЕПЕН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ЗАШТИТЕ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утврђено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постојање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умерено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великог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ризика</w:t>
      </w:r>
      <w:r w:rsidRPr="00B212F1">
        <w:rPr>
          <w:rFonts w:ascii="Arial" w:hAnsi="Arial" w:cs="Arial"/>
          <w:b/>
          <w:sz w:val="22"/>
          <w:szCs w:val="22"/>
        </w:rPr>
        <w:t>;</w:t>
      </w:r>
    </w:p>
    <w:p w:rsidR="0044286E" w:rsidRPr="00B212F1" w:rsidRDefault="0044286E" w:rsidP="004428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2F1">
        <w:rPr>
          <w:rFonts w:ascii="Arial" w:hAnsi="Arial" w:cs="Arial"/>
          <w:b/>
          <w:sz w:val="22"/>
          <w:szCs w:val="22"/>
        </w:rPr>
        <w:t xml:space="preserve">4) </w:t>
      </w:r>
      <w:r w:rsidR="00B212F1" w:rsidRPr="00B212F1">
        <w:rPr>
          <w:rFonts w:ascii="Arial" w:hAnsi="Arial" w:cs="Arial"/>
          <w:b/>
          <w:sz w:val="22"/>
          <w:szCs w:val="22"/>
        </w:rPr>
        <w:t>IV категорију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СРЕДЊИ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СТЕПЕН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ЗАШТИТЕ</w:t>
      </w:r>
      <w:r w:rsidRPr="00B212F1">
        <w:rPr>
          <w:rFonts w:ascii="Arial" w:hAnsi="Arial" w:cs="Arial"/>
          <w:b/>
          <w:sz w:val="22"/>
          <w:szCs w:val="22"/>
        </w:rPr>
        <w:t xml:space="preserve"> – </w:t>
      </w:r>
      <w:r w:rsidR="00B212F1" w:rsidRPr="00B212F1">
        <w:rPr>
          <w:rFonts w:ascii="Arial" w:hAnsi="Arial" w:cs="Arial"/>
          <w:b/>
          <w:sz w:val="22"/>
          <w:szCs w:val="22"/>
        </w:rPr>
        <w:t>утврђено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постојање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малог</w:t>
      </w:r>
      <w:r w:rsidRPr="00B212F1">
        <w:rPr>
          <w:rFonts w:ascii="Arial" w:hAnsi="Arial" w:cs="Arial"/>
          <w:b/>
          <w:sz w:val="22"/>
          <w:szCs w:val="22"/>
        </w:rPr>
        <w:t xml:space="preserve"> </w:t>
      </w:r>
      <w:r w:rsidR="00B212F1" w:rsidRPr="00B212F1">
        <w:rPr>
          <w:rFonts w:ascii="Arial" w:hAnsi="Arial" w:cs="Arial"/>
          <w:b/>
          <w:sz w:val="22"/>
          <w:szCs w:val="22"/>
        </w:rPr>
        <w:t>ризика</w:t>
      </w:r>
      <w:r w:rsidRPr="00B212F1">
        <w:rPr>
          <w:rFonts w:ascii="Arial" w:hAnsi="Arial" w:cs="Arial"/>
          <w:b/>
          <w:sz w:val="22"/>
          <w:szCs w:val="22"/>
        </w:rPr>
        <w:t>;</w:t>
      </w:r>
    </w:p>
    <w:p w:rsidR="0044286E" w:rsidRPr="00B212F1" w:rsidRDefault="00B212F1" w:rsidP="00B212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2F1">
        <w:rPr>
          <w:rFonts w:ascii="Arial" w:hAnsi="Arial" w:cs="Arial"/>
          <w:b/>
          <w:sz w:val="22"/>
          <w:szCs w:val="22"/>
        </w:rPr>
        <w:t>5) V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категорију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– </w:t>
      </w:r>
      <w:r w:rsidRPr="00B212F1">
        <w:rPr>
          <w:rFonts w:ascii="Arial" w:hAnsi="Arial" w:cs="Arial"/>
          <w:b/>
          <w:sz w:val="22"/>
          <w:szCs w:val="22"/>
        </w:rPr>
        <w:t>МИНИМАЛНИ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СТЕПЕН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ЗАШТИТЕ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– </w:t>
      </w:r>
      <w:r w:rsidRPr="00B212F1">
        <w:rPr>
          <w:rFonts w:ascii="Arial" w:hAnsi="Arial" w:cs="Arial"/>
          <w:b/>
          <w:sz w:val="22"/>
          <w:szCs w:val="22"/>
        </w:rPr>
        <w:t>утврђено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постојање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занемарљивог</w:t>
      </w:r>
      <w:r w:rsidR="0044286E" w:rsidRPr="00B212F1">
        <w:rPr>
          <w:rFonts w:ascii="Arial" w:hAnsi="Arial" w:cs="Arial"/>
          <w:b/>
          <w:sz w:val="22"/>
          <w:szCs w:val="22"/>
        </w:rPr>
        <w:t xml:space="preserve"> </w:t>
      </w:r>
      <w:r w:rsidRPr="00B212F1">
        <w:rPr>
          <w:rFonts w:ascii="Arial" w:hAnsi="Arial" w:cs="Arial"/>
          <w:b/>
          <w:sz w:val="22"/>
          <w:szCs w:val="22"/>
        </w:rPr>
        <w:t>ризика</w:t>
      </w:r>
      <w:r w:rsidR="0044286E" w:rsidRPr="00B212F1">
        <w:rPr>
          <w:rFonts w:ascii="Arial" w:hAnsi="Arial" w:cs="Arial"/>
          <w:b/>
          <w:sz w:val="22"/>
          <w:szCs w:val="22"/>
        </w:rPr>
        <w:t>.</w:t>
      </w:r>
    </w:p>
    <w:p w:rsidR="00B212F1" w:rsidRPr="00B212F1" w:rsidRDefault="00B212F1" w:rsidP="00B212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12F1" w:rsidRDefault="00B212F1" w:rsidP="00B21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12F1" w:rsidRPr="00B212F1" w:rsidRDefault="00B212F1" w:rsidP="00B21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764A" w:rsidRPr="00700BC7" w:rsidRDefault="00B212F1" w:rsidP="008F764A">
      <w:pPr>
        <w:numPr>
          <w:ilvl w:val="0"/>
          <w:numId w:val="21"/>
        </w:numPr>
        <w:suppressAutoHyphens w:val="0"/>
        <w:spacing w:before="120" w:line="100" w:lineRule="atLeast"/>
        <w:contextualSpacing/>
        <w:jc w:val="both"/>
        <w:rPr>
          <w:rFonts w:ascii="Arial" w:hAnsi="Arial" w:cs="Arial"/>
          <w:b/>
          <w:bCs/>
          <w:iCs/>
          <w:color w:val="FF0000"/>
          <w:kern w:val="1"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Процена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угрожености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од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елементраних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непогода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других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несрећа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План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за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ш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тите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и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спасавања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са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Планом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за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ш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тите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од</w:t>
      </w:r>
      <w:r w:rsidR="008F764A" w:rsidRPr="00700BC7"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kern w:val="1"/>
          <w:sz w:val="22"/>
          <w:szCs w:val="22"/>
          <w:u w:val="single"/>
          <w:lang w:val="sr-Cyrl-RS"/>
        </w:rPr>
        <w:t>удеса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en-US" w:eastAsia="en-US"/>
        </w:rPr>
        <w:t>Активности</w:t>
      </w:r>
      <w:r w:rsidR="008F764A" w:rsidRPr="00700BC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 w:eastAsia="en-US"/>
        </w:rPr>
        <w:t>обима</w:t>
      </w:r>
      <w:r w:rsidR="008F764A" w:rsidRPr="00700BC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8F764A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Анализа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постојећег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организације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послова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везаних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објектима</w:t>
      </w:r>
    </w:p>
    <w:p w:rsidR="00B212F1" w:rsidRDefault="00B212F1" w:rsidP="00B212F1">
      <w:p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</w:p>
    <w:p w:rsidR="00B212F1" w:rsidRPr="00700BC7" w:rsidRDefault="00B212F1" w:rsidP="00B212F1">
      <w:p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</w:p>
    <w:p w:rsidR="008F764A" w:rsidRPr="00700BC7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Предлог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основних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принципа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организације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послова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којима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обезбеђује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начин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контроле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извр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задатака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тите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спасавања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8F764A" w:rsidRPr="00700BC7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Идентификација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извора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облика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угрожавања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; </w:t>
      </w:r>
    </w:p>
    <w:p w:rsidR="008F764A" w:rsidRPr="00700BC7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Дефинисање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могућих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ефеката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последица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8F764A" w:rsidRPr="00700BC7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; </w:t>
      </w:r>
    </w:p>
    <w:p w:rsidR="008F764A" w:rsidRPr="00700BC7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Оцена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8F764A" w:rsidRPr="00700BC7" w:rsidRDefault="00B212F1" w:rsidP="008F764A">
      <w:pPr>
        <w:numPr>
          <w:ilvl w:val="0"/>
          <w:numId w:val="14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Предложити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контроле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третман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оцењених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; 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Садржај</w:t>
      </w:r>
      <w:r w:rsidR="008F764A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процене</w:t>
      </w:r>
      <w:r w:rsidR="008F764A" w:rsidRPr="00700BC7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угрожености</w:t>
      </w:r>
      <w:r w:rsidR="008F764A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Процена</w:t>
      </w:r>
      <w:r w:rsidR="008F764A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обавезно</w:t>
      </w:r>
      <w:r w:rsidR="008F764A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садржи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: </w:t>
      </w:r>
    </w:p>
    <w:p w:rsidR="008F764A" w:rsidRPr="00700BC7" w:rsidRDefault="00B212F1" w:rsidP="008F764A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Увод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не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радње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Оп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део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Посебни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део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Закључак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Садржај</w:t>
      </w:r>
      <w:r w:rsidR="008F764A"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плана</w:t>
      </w:r>
    </w:p>
    <w:p w:rsidR="008F764A" w:rsidRPr="00700BC7" w:rsidRDefault="008F764A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0"/>
          <w:szCs w:val="10"/>
          <w:lang w:val="en-US" w:eastAsia="en-US"/>
        </w:rPr>
      </w:pPr>
      <w:r w:rsidRPr="00700BC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је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основни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плански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документ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основу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кога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субјекти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организују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припремају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учествују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извр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авању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мера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задатака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угроженог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становни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тва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материјалних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културних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добара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животне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средине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израђује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основу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угрожености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елементарних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непогода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других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несрећа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процена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расположивих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капацитета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могућности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титу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спасавање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свим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нивоима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.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План</w:t>
      </w:r>
      <w:r w:rsidR="008F764A" w:rsidRPr="00700BC7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садржи</w:t>
      </w:r>
      <w:r w:rsidR="008F764A" w:rsidRPr="00700BC7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: </w:t>
      </w:r>
    </w:p>
    <w:p w:rsidR="008F764A" w:rsidRPr="00700BC7" w:rsidRDefault="008F764A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0"/>
          <w:szCs w:val="10"/>
          <w:lang w:val="sr-Cyrl-RS" w:eastAsia="en-US"/>
        </w:rPr>
      </w:pPr>
    </w:p>
    <w:p w:rsidR="008F764A" w:rsidRPr="00700BC7" w:rsidRDefault="00B212F1" w:rsidP="008F764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приправност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спремност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деловање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ванредн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им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ситуациј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ама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мобилизациј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активирањ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сопствених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снага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средстава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ради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извр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ења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задатака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области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спасавања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осматрања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раног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упозоравања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обаве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тавања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узбуњивања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700BC7" w:rsidRDefault="00B212F1" w:rsidP="008F764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мера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задатака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цивилне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тите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(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саставни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део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преглед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средстава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личну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узајамну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колективну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титу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)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; </w:t>
      </w:r>
    </w:p>
    <w:p w:rsidR="008F764A" w:rsidRPr="00B212F1" w:rsidRDefault="00B212F1" w:rsidP="008F764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извр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ења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задатака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утврђених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Националним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планом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окружним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планом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јединица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локалне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самоуправе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.</w:t>
      </w:r>
    </w:p>
    <w:p w:rsidR="00B212F1" w:rsidRDefault="00B212F1" w:rsidP="00B212F1">
      <w:p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</w:p>
    <w:p w:rsidR="00B212F1" w:rsidRPr="00700BC7" w:rsidRDefault="00B212F1" w:rsidP="00B212F1">
      <w:pPr>
        <w:suppressAutoHyphens w:val="0"/>
        <w:autoSpaceDE w:val="0"/>
        <w:autoSpaceDN w:val="0"/>
        <w:adjustRightInd w:val="0"/>
        <w:spacing w:before="120" w:after="1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  <w:t>РАСПОЛОЖИВА</w:t>
      </w:r>
      <w:r w:rsidR="008F764A" w:rsidRPr="00700BC7"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 w:val="22"/>
          <w:szCs w:val="22"/>
          <w:lang w:val="en-US"/>
        </w:rPr>
        <w:t>ДОКУМЕНТАЦИЈА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доступна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расположива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документација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односи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предмет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набавке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подлоге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треба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користити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:</w:t>
      </w:r>
    </w:p>
    <w:p w:rsidR="008F764A" w:rsidRPr="00700BC7" w:rsidRDefault="00B212F1" w:rsidP="008F764A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Страте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8F764A" w:rsidRPr="00700BC7" w:rsidRDefault="00B212F1" w:rsidP="008F764A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Интерна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акта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8F764A" w:rsidRPr="00700BC7" w:rsidRDefault="00B212F1" w:rsidP="008F764A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Постојећу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документацију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интегрисаног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менаџмент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система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Огранку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процедуре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упутства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друга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оперативна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односе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планиране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превентивне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мере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реаговање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случају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опасности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8F764A" w:rsidRPr="00700BC7" w:rsidRDefault="00B212F1" w:rsidP="008F764A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Податке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идентификованим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ризицима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надлежних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;</w:t>
      </w:r>
    </w:p>
    <w:p w:rsidR="008F764A" w:rsidRPr="00700BC7" w:rsidRDefault="00B212F1" w:rsidP="008F764A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Cs w:val="24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Анкетирање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лицу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места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;</w:t>
      </w:r>
    </w:p>
    <w:p w:rsidR="008F764A" w:rsidRPr="00700BC7" w:rsidRDefault="00B212F1" w:rsidP="008F764A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Cs w:val="24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Студију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процени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угрожености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ЈП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ЕПС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Поред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наведеног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обавеза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захтев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овла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ћеног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лица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: </w:t>
      </w:r>
    </w:p>
    <w:p w:rsidR="008F764A" w:rsidRPr="00700BC7" w:rsidRDefault="00B212F1" w:rsidP="005F742A">
      <w:pPr>
        <w:numPr>
          <w:ilvl w:val="0"/>
          <w:numId w:val="21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одреди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лица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стручном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тиму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захтеву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Изабраног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року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од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три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од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дана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закључења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уговора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перманентно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доставља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податке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својих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стручних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служби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</w:p>
    <w:p w:rsidR="008F764A" w:rsidRPr="00700BC7" w:rsidRDefault="00B212F1" w:rsidP="005F742A">
      <w:pPr>
        <w:numPr>
          <w:ilvl w:val="0"/>
          <w:numId w:val="21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омогући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улазак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рад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планира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објектима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складу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са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посебним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овла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ћењем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</w:p>
    <w:p w:rsidR="008F764A" w:rsidRDefault="00B212F1" w:rsidP="005F742A">
      <w:pPr>
        <w:numPr>
          <w:ilvl w:val="0"/>
          <w:numId w:val="21"/>
        </w:numPr>
        <w:suppressAutoHyphens w:val="0"/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обезбеди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непосред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н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сарадњу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представником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</w:rPr>
        <w:t>Н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аручиоца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планираном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објекту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. </w:t>
      </w:r>
    </w:p>
    <w:p w:rsidR="00B212F1" w:rsidRDefault="00B212F1" w:rsidP="00B212F1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</w:p>
    <w:p w:rsidR="00B212F1" w:rsidRPr="00700BC7" w:rsidRDefault="00B212F1" w:rsidP="00B212F1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/>
          <w:bCs/>
          <w:iCs/>
          <w:color w:val="000000"/>
          <w:kern w:val="1"/>
          <w:szCs w:val="24"/>
          <w:lang w:val="sr-Cyrl-RS"/>
        </w:rPr>
      </w:pPr>
      <w:r>
        <w:rPr>
          <w:rFonts w:ascii="Arial" w:hAnsi="Arial" w:cs="Arial"/>
          <w:b/>
          <w:bCs/>
          <w:iCs/>
          <w:color w:val="000000"/>
          <w:kern w:val="1"/>
          <w:szCs w:val="24"/>
          <w:lang w:val="en-US"/>
        </w:rPr>
        <w:t>ФАЗЕ</w:t>
      </w:r>
      <w:r w:rsidR="008F764A" w:rsidRPr="00700BC7">
        <w:rPr>
          <w:rFonts w:ascii="Arial" w:hAnsi="Arial" w:cs="Arial"/>
          <w:b/>
          <w:bCs/>
          <w:iCs/>
          <w:color w:val="000000"/>
          <w:kern w:val="1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Cs w:val="24"/>
          <w:lang w:val="en-US"/>
        </w:rPr>
        <w:t>РЕАЛИЗАЦИЈЕ</w:t>
      </w:r>
      <w:r w:rsidR="008F764A" w:rsidRPr="00700BC7">
        <w:rPr>
          <w:rFonts w:ascii="Arial" w:hAnsi="Arial" w:cs="Arial"/>
          <w:b/>
          <w:bCs/>
          <w:iCs/>
          <w:color w:val="000000"/>
          <w:kern w:val="1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1"/>
          <w:szCs w:val="24"/>
          <w:lang w:val="sr-Cyrl-RS"/>
        </w:rPr>
        <w:t>УСЛУГЕ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Понуђач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је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дужан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да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односу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дати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рок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извр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ења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услуга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достави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као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посебан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прилог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понуде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Термин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план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извр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ења</w:t>
      </w:r>
      <w:r w:rsidR="008F764A" w:rsidRPr="00700BC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услуга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овом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треба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назначити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све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главне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активности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које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утврђене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оквиру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тачке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"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Задатак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"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ради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испуњења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циљева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датих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тачки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"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Обим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"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појединачним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фазама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датим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тачки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"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Фазе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реализације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",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укључујући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достављање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изве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таја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остале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активности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Cs w:val="24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Ако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понуђач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понуди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достави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Термин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понуда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ће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бити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одбијена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као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неприхватљива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Изабрани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>понуђач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Термин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план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активности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фазама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предвиђени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рок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извр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ење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услуге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свакој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завр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еној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фази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ће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доставити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сагласност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Стручном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тиму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добијеној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сагласности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сматраће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фаза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успе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реализована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Свака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измена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документу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је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усвојен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од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стране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Наручиоца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која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утиче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промену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смислу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потребних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ресурса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или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продужетак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рока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мора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бити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обострано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усвојена</w:t>
      </w:r>
      <w:r w:rsidR="008F764A" w:rsidRPr="00700BC7">
        <w:rPr>
          <w:rFonts w:ascii="Arial" w:hAnsi="Arial" w:cs="Arial"/>
          <w:bCs/>
          <w:iCs/>
          <w:color w:val="000000"/>
          <w:kern w:val="1"/>
          <w:sz w:val="22"/>
          <w:szCs w:val="22"/>
          <w:lang w:val="en-US"/>
        </w:rPr>
        <w:t>.</w:t>
      </w:r>
    </w:p>
    <w:p w:rsidR="008F764A" w:rsidRPr="00700BC7" w:rsidRDefault="00B212F1" w:rsidP="008F764A">
      <w:pPr>
        <w:spacing w:before="120" w:line="100" w:lineRule="atLeast"/>
        <w:jc w:val="both"/>
        <w:rPr>
          <w:rFonts w:ascii="Arial" w:hAnsi="Arial" w:cs="Arial"/>
          <w:bCs/>
          <w:iCs/>
          <w:kern w:val="1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Обавезне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фазе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реализају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предмета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набавке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: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А</w:t>
      </w:r>
      <w:r>
        <w:rPr>
          <w:rFonts w:ascii="Arial" w:hAnsi="Arial" w:cs="Arial"/>
          <w:sz w:val="22"/>
          <w:szCs w:val="22"/>
          <w:lang w:val="en" w:eastAsia="sr-Latn-RS"/>
        </w:rPr>
        <w:t>нализ</w:t>
      </w:r>
      <w:r>
        <w:rPr>
          <w:rFonts w:ascii="Arial" w:hAnsi="Arial" w:cs="Arial"/>
          <w:sz w:val="22"/>
          <w:szCs w:val="22"/>
          <w:lang w:val="sr-Cyrl-RS" w:eastAsia="sr-Latn-RS"/>
        </w:rPr>
        <w:t>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оцен</w:t>
      </w:r>
      <w:r>
        <w:rPr>
          <w:rFonts w:ascii="Arial" w:hAnsi="Arial" w:cs="Arial"/>
          <w:sz w:val="22"/>
          <w:szCs w:val="22"/>
          <w:lang w:val="sr-Cyrl-RS" w:eastAsia="sr-Latn-RS"/>
        </w:rPr>
        <w:t>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свих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аспеката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корпоративне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систем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менаџмента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безбедно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ћу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здрављем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раду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, </w:t>
      </w:r>
      <w:r>
        <w:rPr>
          <w:rFonts w:ascii="Arial" w:hAnsi="Arial" w:cs="Arial"/>
          <w:sz w:val="22"/>
          <w:szCs w:val="22"/>
          <w:lang w:val="en" w:eastAsia="sr-Latn-RS"/>
        </w:rPr>
        <w:t>преко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тите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од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RS"/>
        </w:rPr>
        <w:t>пожара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lastRenderedPageBreak/>
        <w:t>опасности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везаних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унутра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ш</w:t>
      </w:r>
      <w:r>
        <w:rPr>
          <w:rFonts w:ascii="Arial" w:hAnsi="Arial" w:cs="Arial"/>
          <w:sz w:val="22"/>
          <w:szCs w:val="22"/>
          <w:lang w:val="en" w:eastAsia="sr-Latn-RS"/>
        </w:rPr>
        <w:t>њу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нормативн</w:t>
      </w:r>
      <w:r>
        <w:rPr>
          <w:rFonts w:ascii="Arial" w:hAnsi="Arial" w:cs="Arial"/>
          <w:sz w:val="22"/>
          <w:szCs w:val="22"/>
          <w:lang w:val="sr-Cyrl-RS" w:eastAsia="sr-Latn-RS"/>
        </w:rPr>
        <w:t>о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>-</w:t>
      </w:r>
      <w:r>
        <w:rPr>
          <w:rFonts w:ascii="Arial" w:hAnsi="Arial" w:cs="Arial"/>
          <w:sz w:val="22"/>
          <w:szCs w:val="22"/>
          <w:lang w:val="sr-Cyrl-RS" w:eastAsia="sr-Latn-RS"/>
        </w:rPr>
        <w:t>правну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регулативу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противправно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деловање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унутар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>/</w:t>
      </w:r>
      <w:r>
        <w:rPr>
          <w:rFonts w:ascii="Arial" w:hAnsi="Arial" w:cs="Arial"/>
          <w:sz w:val="22"/>
          <w:szCs w:val="22"/>
          <w:lang w:val="en" w:eastAsia="sr-Latn-RS"/>
        </w:rPr>
        <w:t>или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ван</w:t>
      </w:r>
      <w:r w:rsidR="008F764A" w:rsidRPr="00700BC7">
        <w:rPr>
          <w:rFonts w:ascii="Arial" w:hAnsi="Arial" w:cs="Arial"/>
          <w:sz w:val="22"/>
          <w:szCs w:val="22"/>
          <w:lang w:val="en" w:eastAsia="sr-Latn-RS"/>
        </w:rPr>
        <w:t xml:space="preserve"> </w:t>
      </w:r>
      <w:r>
        <w:rPr>
          <w:rFonts w:ascii="Arial" w:hAnsi="Arial" w:cs="Arial"/>
          <w:sz w:val="22"/>
          <w:szCs w:val="22"/>
          <w:lang w:val="en" w:eastAsia="sr-Latn-RS"/>
        </w:rPr>
        <w:t>предузећа</w:t>
      </w:r>
      <w:r w:rsidR="008F764A" w:rsidRPr="00700BC7">
        <w:rPr>
          <w:rFonts w:ascii="Arial" w:hAnsi="Arial" w:cs="Arial"/>
          <w:sz w:val="22"/>
          <w:szCs w:val="22"/>
          <w:lang w:val="sr-Cyrl-RS" w:eastAsia="sr-Latn-R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Увод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дефинисање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циља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анализа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положаја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карактеристика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територије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локације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објеката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>Огранка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>ТЕНТ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Latn-R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критичне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инфраструктуре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станови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угрожености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елементарних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непогода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других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несрећа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идентификација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објеката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критичне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инфраструктуре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врсте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интензитета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опасности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Идентификација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опасности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елементарних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непогода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других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несрећа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зависности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узрока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настанка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извора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облика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угрожавања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дефинисање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могућих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ефеката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последица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идентификовање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оцена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идентификованих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од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елементарних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непогода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других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несрећа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Предлог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мера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контроле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третман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идентификованих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оцењених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ризика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процена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потребних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снага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средстава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превентивних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мера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титу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спасавање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Анализа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постојећег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стања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организације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послова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везаних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ванредне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ситуације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предлог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основних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принципа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организације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послова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којима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обезбеђује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начин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контроле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извр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авања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задатака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тите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спасавања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Огранку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ТЕНТ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 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Закључак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предлогом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основних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елемената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израду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плана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за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>ш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тите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и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спасавања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у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ванредним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kern w:val="1"/>
          <w:sz w:val="22"/>
          <w:szCs w:val="22"/>
          <w:lang w:val="en-US"/>
        </w:rPr>
        <w:t>ситуацијама</w:t>
      </w:r>
      <w:r w:rsidR="008F764A" w:rsidRPr="00700BC7">
        <w:rPr>
          <w:rFonts w:ascii="Arial" w:hAnsi="Arial" w:cs="Arial"/>
          <w:bCs/>
          <w:iCs/>
          <w:kern w:val="1"/>
          <w:sz w:val="22"/>
          <w:szCs w:val="22"/>
          <w:lang w:val="sr-Cyrl-R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усвајање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предлога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ризика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тити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лица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имовине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пословања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Стручни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Огранка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усвајање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предлога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угрожености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елементарних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непогода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других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несрећа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Стручни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Огранка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усвајање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предлога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ванредним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ситуацијама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Стручни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Огранка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>ТЕНТ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>;</w:t>
      </w:r>
    </w:p>
    <w:p w:rsidR="008F764A" w:rsidRPr="00700BC7" w:rsidRDefault="00B212F1" w:rsidP="008F764A">
      <w:pPr>
        <w:numPr>
          <w:ilvl w:val="0"/>
          <w:numId w:val="19"/>
        </w:numPr>
        <w:suppressAutoHyphens w:val="0"/>
        <w:spacing w:before="120" w:line="100" w:lineRule="atLeast"/>
        <w:ind w:left="284" w:hanging="142"/>
        <w:jc w:val="both"/>
        <w:rPr>
          <w:rFonts w:ascii="Arial" w:hAnsi="Arial" w:cs="Arial"/>
          <w:bCs/>
          <w:iCs/>
          <w:kern w:val="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Предаја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завр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Процене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угрожености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елементарних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непогода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других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несрећа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Плана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>ш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тите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спасавања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ванредним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ситуацијама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папирном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облику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електронском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медију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ЦД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или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ДВД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примерка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</w:p>
    <w:p w:rsidR="008F764A" w:rsidRPr="00700BC7" w:rsidRDefault="008F764A" w:rsidP="008F76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0BC7">
        <w:rPr>
          <w:rFonts w:ascii="Arial" w:hAnsi="Arial" w:cs="Arial"/>
          <w:b/>
          <w:sz w:val="22"/>
          <w:szCs w:val="22"/>
          <w:lang w:val="en-US" w:eastAsia="en-US"/>
        </w:rPr>
        <w:t>3.</w:t>
      </w:r>
      <w:r w:rsidRPr="00700BC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>.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Рок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извр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>ш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ења</w:t>
      </w:r>
      <w:r w:rsidRPr="00700BC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hAnsi="Arial" w:cs="Arial"/>
          <w:b/>
          <w:sz w:val="22"/>
          <w:szCs w:val="22"/>
          <w:lang w:val="en-US" w:eastAsia="en-US"/>
        </w:rPr>
        <w:t>услуга</w:t>
      </w:r>
      <w:r w:rsidRPr="00700BC7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Рок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извр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>ш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ења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F764A" w:rsidRPr="00700BC7">
        <w:rPr>
          <w:rFonts w:ascii="Arial" w:hAnsi="Arial" w:cs="Arial"/>
          <w:b/>
          <w:bCs/>
          <w:sz w:val="22"/>
          <w:szCs w:val="22"/>
          <w:lang w:val="sr-Cyrl-RS" w:eastAsia="en-US"/>
        </w:rPr>
        <w:t>1</w:t>
      </w:r>
      <w:r w:rsidR="008F764A" w:rsidRPr="00700BC7">
        <w:rPr>
          <w:rFonts w:ascii="Arial" w:hAnsi="Arial" w:cs="Arial"/>
          <w:b/>
          <w:bCs/>
          <w:sz w:val="22"/>
          <w:szCs w:val="22"/>
          <w:lang w:val="sr-Latn-RS" w:eastAsia="en-US"/>
        </w:rPr>
        <w:t>8</w:t>
      </w:r>
      <w:r w:rsidR="008F764A" w:rsidRPr="00700BC7">
        <w:rPr>
          <w:rFonts w:ascii="Arial" w:hAnsi="Arial" w:cs="Arial"/>
          <w:b/>
          <w:bCs/>
          <w:sz w:val="22"/>
          <w:szCs w:val="22"/>
          <w:lang w:val="sr-Cyrl-RS" w:eastAsia="en-US"/>
        </w:rPr>
        <w:t>0</w:t>
      </w:r>
      <w:r w:rsidR="008F764A" w:rsidRPr="00700BC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8F764A" w:rsidRPr="00700BC7">
        <w:rPr>
          <w:rFonts w:ascii="Arial" w:hAnsi="Arial" w:cs="Arial"/>
          <w:b/>
          <w:sz w:val="22"/>
          <w:szCs w:val="22"/>
          <w:lang w:val="en-US" w:eastAsia="en-US"/>
        </w:rPr>
        <w:t>(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стоосамдесет</w:t>
      </w:r>
      <w:r w:rsidR="008F764A" w:rsidRPr="00700BC7">
        <w:rPr>
          <w:rFonts w:ascii="Arial" w:hAnsi="Arial" w:cs="Arial"/>
          <w:b/>
          <w:sz w:val="22"/>
          <w:szCs w:val="22"/>
          <w:lang w:val="en-US" w:eastAsia="en-US"/>
        </w:rPr>
        <w:t>)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ступања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снагу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8F764A" w:rsidRPr="00700BC7" w:rsidRDefault="00B212F1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Рок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почетак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извр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>ш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ења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3 (</w:t>
      </w:r>
      <w:r>
        <w:rPr>
          <w:rFonts w:ascii="Arial" w:eastAsia="Calibri" w:hAnsi="Arial" w:cs="Arial"/>
          <w:sz w:val="22"/>
          <w:szCs w:val="22"/>
          <w:lang w:val="en-US" w:eastAsia="en-US"/>
        </w:rPr>
        <w:t>три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ступања</w:t>
      </w:r>
      <w:r w:rsidR="008F764A" w:rsidRPr="00700BC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уговора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на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снагу</w:t>
      </w:r>
      <w:r w:rsidR="008F764A" w:rsidRPr="00700BC7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.</w:t>
      </w:r>
    </w:p>
    <w:p w:rsidR="008F764A" w:rsidRPr="00700BC7" w:rsidRDefault="008F764A" w:rsidP="008F76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</w:p>
    <w:p w:rsidR="008F764A" w:rsidRPr="00700BC7" w:rsidRDefault="008F764A" w:rsidP="008F764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F764A" w:rsidRPr="00700BC7" w:rsidRDefault="008F764A" w:rsidP="008F76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00BC7">
        <w:rPr>
          <w:rFonts w:ascii="Arial" w:eastAsia="Calibri" w:hAnsi="Arial" w:cs="Arial"/>
          <w:b/>
          <w:sz w:val="22"/>
          <w:szCs w:val="22"/>
          <w:lang w:val="sr-Cyrl-RS" w:eastAsia="en-US"/>
        </w:rPr>
        <w:t>3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Pr="00700BC7">
        <w:rPr>
          <w:rFonts w:ascii="Arial" w:eastAsia="Calibri" w:hAnsi="Arial" w:cs="Arial"/>
          <w:b/>
          <w:sz w:val="22"/>
          <w:szCs w:val="22"/>
          <w:lang w:val="sr-Cyrl-RS" w:eastAsia="en-US"/>
        </w:rPr>
        <w:t>3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Место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извр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>ш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ења</w:t>
      </w:r>
      <w:r w:rsidRPr="00700BC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eastAsia="Calibri" w:hAnsi="Arial" w:cs="Arial"/>
          <w:b/>
          <w:sz w:val="22"/>
          <w:szCs w:val="22"/>
          <w:lang w:val="en-US" w:eastAsia="en-US"/>
        </w:rPr>
        <w:t>услуга</w:t>
      </w:r>
      <w:r w:rsidRPr="00700BC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8F764A" w:rsidRPr="00700BC7" w:rsidRDefault="008F764A" w:rsidP="008F76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Богољуба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Уро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евића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Црног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бр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.44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11500 </w:t>
      </w:r>
      <w:r>
        <w:rPr>
          <w:rFonts w:ascii="Arial" w:hAnsi="Arial" w:cs="Arial"/>
          <w:sz w:val="22"/>
          <w:szCs w:val="22"/>
          <w:lang w:val="en-US" w:eastAsia="en-US"/>
        </w:rPr>
        <w:t>Обреновац</w:t>
      </w:r>
    </w:p>
    <w:p w:rsidR="008F764A" w:rsidRPr="00700BC7" w:rsidRDefault="00B212F1" w:rsidP="008F764A">
      <w:pPr>
        <w:tabs>
          <w:tab w:val="left" w:pos="4882"/>
        </w:tabs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ТЕНТ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Б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11509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У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ће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ab/>
      </w:r>
    </w:p>
    <w:p w:rsidR="008F764A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Колубара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11563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Велики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Црљени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Космајска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бб</w:t>
      </w:r>
    </w:p>
    <w:p w:rsidR="008F764A" w:rsidRDefault="00B212F1" w:rsidP="008F764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ТЕ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Морава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31250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Свилајнац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Кнеза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Мило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>ш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а</w:t>
      </w:r>
      <w:r w:rsidR="008F764A" w:rsidRPr="00700BC7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 w:eastAsia="zh-CN"/>
        </w:rPr>
        <w:t>бб</w:t>
      </w:r>
    </w:p>
    <w:p w:rsidR="00B212F1" w:rsidRDefault="00B212F1" w:rsidP="008F764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</w:p>
    <w:p w:rsidR="00B212F1" w:rsidRDefault="00B212F1" w:rsidP="008F764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</w:p>
    <w:p w:rsidR="00B212F1" w:rsidRPr="00700BC7" w:rsidRDefault="00B212F1" w:rsidP="008F764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</w:p>
    <w:p w:rsidR="008F764A" w:rsidRPr="00700BC7" w:rsidRDefault="008F764A" w:rsidP="008F764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en-US" w:eastAsia="en-US"/>
        </w:rPr>
      </w:pPr>
      <w:r w:rsidRPr="00700BC7">
        <w:rPr>
          <w:rFonts w:ascii="Arial" w:hAnsi="Arial"/>
          <w:b/>
          <w:sz w:val="22"/>
          <w:szCs w:val="22"/>
          <w:lang w:val="sr-Cyrl-RS" w:eastAsia="en-US"/>
        </w:rPr>
        <w:t xml:space="preserve">3.4 </w:t>
      </w:r>
      <w:r w:rsidR="00B212F1">
        <w:rPr>
          <w:rFonts w:ascii="Arial" w:hAnsi="Arial"/>
          <w:b/>
          <w:sz w:val="22"/>
          <w:szCs w:val="22"/>
          <w:lang w:val="en-US" w:eastAsia="en-US"/>
        </w:rPr>
        <w:t>Квалитативни</w:t>
      </w:r>
      <w:r w:rsidRPr="00700BC7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r w:rsidR="00B212F1">
        <w:rPr>
          <w:rFonts w:ascii="Arial" w:hAnsi="Arial"/>
          <w:b/>
          <w:sz w:val="22"/>
          <w:szCs w:val="22"/>
          <w:lang w:val="en-US" w:eastAsia="en-US"/>
        </w:rPr>
        <w:t>пријем</w:t>
      </w:r>
    </w:p>
    <w:p w:rsidR="008F764A" w:rsidRPr="00700BC7" w:rsidRDefault="00B212F1" w:rsidP="008F76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Квалитативни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вр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приликом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пружања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присуству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овла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ћених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представника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праћење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Уговора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на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паритету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франко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пословни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објекти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Корисника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ЈП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ЕПС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Огранака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r>
        <w:rPr>
          <w:rFonts w:ascii="Arial" w:hAnsi="Arial" w:cs="Arial"/>
          <w:sz w:val="22"/>
          <w:szCs w:val="22"/>
          <w:lang w:val="en-US" w:eastAsia="en-US"/>
        </w:rPr>
        <w:t>ТЕНТ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Обреновац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Богољуба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Уро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евића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Црног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44 </w:t>
      </w:r>
    </w:p>
    <w:p w:rsidR="008F764A" w:rsidRPr="00700BC7" w:rsidRDefault="00B212F1" w:rsidP="008F76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случају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приликом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утврди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стварно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стање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одговара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квалитету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је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дужан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рекламацију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записнички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констатује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исту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одмах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достави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Изабраном</w:t>
      </w:r>
      <w:r w:rsidR="008F764A" w:rsidRPr="00700BC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понуђачу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року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5 (</w:t>
      </w:r>
      <w:r>
        <w:rPr>
          <w:rFonts w:ascii="Arial" w:hAnsi="Arial" w:cs="Arial"/>
          <w:sz w:val="22"/>
          <w:szCs w:val="22"/>
          <w:lang w:val="en-US" w:eastAsia="en-US"/>
        </w:rPr>
        <w:t>словима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:</w:t>
      </w:r>
      <w:r>
        <w:rPr>
          <w:rFonts w:ascii="Arial" w:hAnsi="Arial" w:cs="Arial"/>
          <w:sz w:val="22"/>
          <w:szCs w:val="22"/>
          <w:lang w:val="en-US" w:eastAsia="en-US"/>
        </w:rPr>
        <w:t>пет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r>
        <w:rPr>
          <w:rFonts w:ascii="Arial" w:hAnsi="Arial" w:cs="Arial"/>
          <w:sz w:val="22"/>
          <w:szCs w:val="22"/>
          <w:lang w:val="en-US" w:eastAsia="en-US"/>
        </w:rPr>
        <w:t>дана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F764A" w:rsidRDefault="00B212F1" w:rsidP="008F76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n-US"/>
        </w:rPr>
        <w:t>Пружалац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се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обавезује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да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недостатке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установљене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стране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Корисника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услуге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приликом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квантитативног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квалитативног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отклони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року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10 (</w:t>
      </w:r>
      <w:r>
        <w:rPr>
          <w:rFonts w:ascii="Arial" w:hAnsi="Arial" w:cs="Arial"/>
          <w:sz w:val="22"/>
          <w:szCs w:val="22"/>
          <w:lang w:val="en-US" w:eastAsia="en-US"/>
        </w:rPr>
        <w:t>словима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>
        <w:rPr>
          <w:rFonts w:ascii="Arial" w:hAnsi="Arial" w:cs="Arial"/>
          <w:sz w:val="22"/>
          <w:szCs w:val="22"/>
          <w:lang w:val="en-US" w:eastAsia="en-US"/>
        </w:rPr>
        <w:t>десетдана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r>
        <w:rPr>
          <w:rFonts w:ascii="Arial" w:hAnsi="Arial" w:cs="Arial"/>
          <w:sz w:val="22"/>
          <w:szCs w:val="22"/>
          <w:lang w:val="en-US" w:eastAsia="en-US"/>
        </w:rPr>
        <w:t>од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момента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пријема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рекламације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о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свом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тро</w:t>
      </w:r>
      <w:r w:rsidR="008F764A" w:rsidRPr="00700BC7">
        <w:rPr>
          <w:rFonts w:ascii="Arial" w:hAnsi="Arial" w:cs="Arial"/>
          <w:sz w:val="22"/>
          <w:szCs w:val="22"/>
          <w:lang w:val="en-US" w:eastAsia="en-US"/>
        </w:rPr>
        <w:t>ш</w:t>
      </w:r>
      <w:r>
        <w:rPr>
          <w:rFonts w:ascii="Arial" w:hAnsi="Arial" w:cs="Arial"/>
          <w:sz w:val="22"/>
          <w:szCs w:val="22"/>
          <w:lang w:val="en-US" w:eastAsia="en-US"/>
        </w:rPr>
        <w:t>ку</w:t>
      </w:r>
    </w:p>
    <w:p w:rsidR="008F764A" w:rsidRDefault="008F764A" w:rsidP="00466BAE">
      <w:pPr>
        <w:rPr>
          <w:rFonts w:ascii="Arial" w:hAnsi="Arial" w:cs="Arial"/>
          <w:b/>
          <w:sz w:val="22"/>
          <w:szCs w:val="22"/>
        </w:rPr>
      </w:pPr>
    </w:p>
    <w:p w:rsidR="008F764A" w:rsidRDefault="008F764A" w:rsidP="00466BAE">
      <w:pPr>
        <w:rPr>
          <w:rFonts w:ascii="Arial" w:hAnsi="Arial" w:cs="Arial"/>
          <w:b/>
          <w:sz w:val="22"/>
          <w:szCs w:val="22"/>
        </w:rPr>
      </w:pPr>
    </w:p>
    <w:p w:rsidR="00B212F1" w:rsidRDefault="00B212F1" w:rsidP="00466BAE">
      <w:pPr>
        <w:rPr>
          <w:rFonts w:ascii="Arial" w:hAnsi="Arial" w:cs="Arial"/>
          <w:b/>
          <w:sz w:val="22"/>
          <w:szCs w:val="22"/>
        </w:rPr>
      </w:pPr>
    </w:p>
    <w:p w:rsidR="00B212F1" w:rsidRDefault="00B212F1" w:rsidP="00466BAE">
      <w:pPr>
        <w:rPr>
          <w:rFonts w:ascii="Arial" w:hAnsi="Arial" w:cs="Arial"/>
          <w:b/>
          <w:sz w:val="22"/>
          <w:szCs w:val="22"/>
        </w:rPr>
      </w:pPr>
    </w:p>
    <w:p w:rsidR="00B212F1" w:rsidRDefault="00B212F1" w:rsidP="00466BAE">
      <w:pPr>
        <w:rPr>
          <w:rFonts w:ascii="Arial" w:hAnsi="Arial" w:cs="Arial"/>
          <w:b/>
          <w:sz w:val="22"/>
          <w:szCs w:val="22"/>
        </w:rPr>
      </w:pPr>
    </w:p>
    <w:p w:rsidR="004D3283" w:rsidRPr="00295D8C" w:rsidRDefault="004D3283" w:rsidP="00466BAE">
      <w:pPr>
        <w:rPr>
          <w:rFonts w:ascii="Arial" w:hAnsi="Arial" w:cs="Arial"/>
          <w:b/>
          <w:sz w:val="22"/>
          <w:szCs w:val="22"/>
        </w:rPr>
      </w:pPr>
    </w:p>
    <w:p w:rsidR="00C6690C" w:rsidRDefault="00466BAE" w:rsidP="00466BAE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7D2B7D" w:rsidRPr="00466BAE" w:rsidRDefault="007D2B7D" w:rsidP="00466BAE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212F1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измена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конкурсне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</w:rPr>
        <w:t>је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објављује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Порталу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УЈН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нтернет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страници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Наручиоца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8F764A" w:rsidRDefault="008F764A" w:rsidP="008F764A">
      <w:pPr>
        <w:tabs>
          <w:tab w:val="left" w:pos="6465"/>
        </w:tabs>
        <w:rPr>
          <w:rFonts w:ascii="Arial" w:hAnsi="Arial" w:cs="Arial"/>
          <w:sz w:val="22"/>
          <w:szCs w:val="22"/>
          <w:lang w:val="sr-Cyrl-RS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B212F1" w:rsidP="00AA5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Доставити</w:t>
      </w:r>
      <w:r w:rsidR="00C6690C" w:rsidRPr="00295D8C">
        <w:rPr>
          <w:rFonts w:ascii="Arial" w:hAnsi="Arial" w:cs="Arial"/>
          <w:sz w:val="22"/>
          <w:szCs w:val="22"/>
        </w:rPr>
        <w:t>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B212F1">
        <w:rPr>
          <w:rFonts w:ascii="Arial" w:hAnsi="Arial" w:cs="Arial"/>
          <w:sz w:val="22"/>
          <w:szCs w:val="22"/>
        </w:rPr>
        <w:t>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E6" w:rsidRDefault="00ED44E6" w:rsidP="00F717AF">
      <w:r>
        <w:separator/>
      </w:r>
    </w:p>
  </w:endnote>
  <w:endnote w:type="continuationSeparator" w:id="0">
    <w:p w:rsidR="00ED44E6" w:rsidRDefault="00ED44E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66BAE" w:rsidRPr="00466BAE" w:rsidRDefault="00C6690C" w:rsidP="00466BAE">
    <w:pPr>
      <w:pStyle w:val="BodyText"/>
      <w:jc w:val="left"/>
      <w:rPr>
        <w:rFonts w:ascii="Arial" w:hAnsi="Arial" w:cs="Arial"/>
        <w:sz w:val="18"/>
        <w:szCs w:val="18"/>
        <w:lang w:val="sr-Cyrl-RS"/>
      </w:rPr>
    </w:pPr>
    <w:r w:rsidRPr="00466BAE">
      <w:rPr>
        <w:sz w:val="20"/>
      </w:rPr>
      <w:t xml:space="preserve">ЈН  број </w:t>
    </w:r>
    <w:r w:rsidR="00466BAE" w:rsidRPr="00466BAE">
      <w:rPr>
        <w:rFonts w:ascii="Arial" w:hAnsi="Arial"/>
        <w:b/>
        <w:sz w:val="18"/>
        <w:szCs w:val="18"/>
      </w:rPr>
      <w:t>3000/</w:t>
    </w:r>
    <w:r w:rsidR="00466BAE" w:rsidRPr="00466BAE">
      <w:rPr>
        <w:rFonts w:ascii="Arial" w:hAnsi="Arial"/>
        <w:b/>
        <w:sz w:val="18"/>
        <w:szCs w:val="18"/>
        <w:lang w:val="sr-Latn-RS"/>
      </w:rPr>
      <w:t>0017</w:t>
    </w:r>
    <w:r w:rsidR="00466BAE" w:rsidRPr="00466BAE">
      <w:rPr>
        <w:rFonts w:ascii="Arial" w:hAnsi="Arial"/>
        <w:b/>
        <w:sz w:val="18"/>
        <w:szCs w:val="18"/>
      </w:rPr>
      <w:t>/2017(</w:t>
    </w:r>
    <w:r w:rsidR="00466BAE" w:rsidRPr="00466BAE">
      <w:rPr>
        <w:rFonts w:ascii="Arial" w:hAnsi="Arial"/>
        <w:b/>
        <w:sz w:val="18"/>
        <w:szCs w:val="18"/>
        <w:lang w:val="sr-Latn-RS"/>
      </w:rPr>
      <w:t>1044</w:t>
    </w:r>
    <w:r w:rsidR="00466BAE" w:rsidRPr="00466BAE">
      <w:rPr>
        <w:rFonts w:ascii="Arial" w:hAnsi="Arial"/>
        <w:b/>
        <w:sz w:val="18"/>
        <w:szCs w:val="18"/>
      </w:rPr>
      <w:t>/2017</w:t>
    </w:r>
    <w:r w:rsidR="00466BAE" w:rsidRPr="00466BAE">
      <w:rPr>
        <w:rFonts w:ascii="Arial" w:hAnsi="Arial"/>
        <w:b/>
        <w:sz w:val="18"/>
        <w:szCs w:val="18"/>
        <w:lang w:val="sr-Cyrl-RS"/>
      </w:rPr>
      <w:t>)</w:t>
    </w:r>
  </w:p>
  <w:p w:rsidR="00C6690C" w:rsidRPr="00466BAE" w:rsidRDefault="00C6690C" w:rsidP="00466BAE">
    <w:pPr>
      <w:pStyle w:val="Footer"/>
      <w:tabs>
        <w:tab w:val="left" w:pos="3431"/>
        <w:tab w:val="right" w:pos="9074"/>
      </w:tabs>
    </w:pPr>
    <w:r w:rsidRPr="00466BAE">
      <w:rPr>
        <w:sz w:val="20"/>
      </w:rPr>
      <w:t xml:space="preserve"> Прва измена конкурсне документације                                </w:t>
    </w:r>
    <w:r w:rsidR="00466BAE" w:rsidRPr="00466BAE">
      <w:rPr>
        <w:sz w:val="20"/>
        <w:lang w:val="sr-Cyrl-RS"/>
      </w:rPr>
      <w:t xml:space="preserve">                 </w:t>
    </w:r>
    <w:r w:rsidRPr="00466BAE">
      <w:rPr>
        <w:sz w:val="20"/>
      </w:rPr>
      <w:t xml:space="preserve"> </w:t>
    </w:r>
    <w:r w:rsidR="00466BAE" w:rsidRPr="00466BAE">
      <w:rPr>
        <w:sz w:val="20"/>
        <w:lang w:val="sr-Cyrl-RS"/>
      </w:rPr>
      <w:t xml:space="preserve">                                                </w:t>
    </w:r>
    <w:r w:rsidRPr="00466BAE">
      <w:rPr>
        <w:sz w:val="20"/>
      </w:rPr>
      <w:t xml:space="preserve">стр.  </w:t>
    </w:r>
    <w:r w:rsidRPr="00466BAE">
      <w:fldChar w:fldCharType="begin"/>
    </w:r>
    <w:r w:rsidRPr="00466BAE">
      <w:instrText xml:space="preserve"> PAGE </w:instrText>
    </w:r>
    <w:r w:rsidRPr="00466BAE">
      <w:fldChar w:fldCharType="separate"/>
    </w:r>
    <w:r w:rsidR="00202155">
      <w:rPr>
        <w:noProof/>
      </w:rPr>
      <w:t>15</w:t>
    </w:r>
    <w:r w:rsidRPr="00466BAE">
      <w:fldChar w:fldCharType="end"/>
    </w:r>
    <w:r w:rsidRPr="00466BAE">
      <w:t>/</w:t>
    </w:r>
    <w:r w:rsidRPr="00466BAE">
      <w:fldChar w:fldCharType="begin"/>
    </w:r>
    <w:r w:rsidRPr="00466BAE">
      <w:instrText xml:space="preserve"> NUMPAGES </w:instrText>
    </w:r>
    <w:r w:rsidRPr="00466BAE">
      <w:fldChar w:fldCharType="separate"/>
    </w:r>
    <w:r w:rsidR="00202155">
      <w:rPr>
        <w:noProof/>
      </w:rPr>
      <w:t>15</w:t>
    </w:r>
    <w:r w:rsidRPr="00466BAE"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E6" w:rsidRDefault="00ED44E6" w:rsidP="00F717AF">
      <w:r>
        <w:separator/>
      </w:r>
    </w:p>
  </w:footnote>
  <w:footnote w:type="continuationSeparator" w:id="0">
    <w:p w:rsidR="00ED44E6" w:rsidRDefault="00ED44E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D44E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02155">
            <w:rPr>
              <w:rFonts w:cs="Arial"/>
              <w:b/>
              <w:noProof/>
            </w:rPr>
            <w:t>15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02155">
            <w:rPr>
              <w:rFonts w:cs="Arial"/>
              <w:b/>
              <w:noProof/>
            </w:rPr>
            <w:t>15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4FD01C9"/>
    <w:multiLevelType w:val="hybridMultilevel"/>
    <w:tmpl w:val="6E88B5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4634"/>
    <w:multiLevelType w:val="hybridMultilevel"/>
    <w:tmpl w:val="EE7CC79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23453"/>
    <w:multiLevelType w:val="hybridMultilevel"/>
    <w:tmpl w:val="35AA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5A4E05"/>
    <w:multiLevelType w:val="hybridMultilevel"/>
    <w:tmpl w:val="A022B10A"/>
    <w:lvl w:ilvl="0" w:tplc="5BD0B0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E529E"/>
    <w:multiLevelType w:val="hybridMultilevel"/>
    <w:tmpl w:val="6F58F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E70FF"/>
    <w:multiLevelType w:val="hybridMultilevel"/>
    <w:tmpl w:val="4894AD12"/>
    <w:lvl w:ilvl="0" w:tplc="AFBEA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15A01"/>
    <w:multiLevelType w:val="hybridMultilevel"/>
    <w:tmpl w:val="A156DC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4D93DF7"/>
    <w:multiLevelType w:val="hybridMultilevel"/>
    <w:tmpl w:val="D1FC3E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4E475A"/>
    <w:multiLevelType w:val="hybridMultilevel"/>
    <w:tmpl w:val="3C3AD7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2B31"/>
    <w:multiLevelType w:val="hybridMultilevel"/>
    <w:tmpl w:val="7A404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12F2FC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38772E"/>
    <w:multiLevelType w:val="hybridMultilevel"/>
    <w:tmpl w:val="D756C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 w15:restartNumberingAfterBreak="0">
    <w:nsid w:val="77F41A71"/>
    <w:multiLevelType w:val="hybridMultilevel"/>
    <w:tmpl w:val="41A4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1"/>
  </w:num>
  <w:num w:numId="7">
    <w:abstractNumId w:val="22"/>
  </w:num>
  <w:num w:numId="8">
    <w:abstractNumId w:val="14"/>
  </w:num>
  <w:num w:numId="9">
    <w:abstractNumId w:val="2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6"/>
  </w:num>
  <w:num w:numId="18">
    <w:abstractNumId w:val="25"/>
  </w:num>
  <w:num w:numId="19">
    <w:abstractNumId w:val="3"/>
  </w:num>
  <w:num w:numId="20">
    <w:abstractNumId w:val="13"/>
  </w:num>
  <w:num w:numId="21">
    <w:abstractNumId w:val="8"/>
  </w:num>
  <w:num w:numId="22">
    <w:abstractNumId w:val="17"/>
  </w:num>
  <w:num w:numId="23">
    <w:abstractNumId w:val="5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155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7943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4895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286E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6BAE"/>
    <w:rsid w:val="00470B2E"/>
    <w:rsid w:val="0047213C"/>
    <w:rsid w:val="004755D1"/>
    <w:rsid w:val="00475C92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283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42A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0FC"/>
    <w:rsid w:val="007044E1"/>
    <w:rsid w:val="00711600"/>
    <w:rsid w:val="0071298A"/>
    <w:rsid w:val="007140FB"/>
    <w:rsid w:val="0071760B"/>
    <w:rsid w:val="00721E5A"/>
    <w:rsid w:val="007257F3"/>
    <w:rsid w:val="0072782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6F43"/>
    <w:rsid w:val="0077093E"/>
    <w:rsid w:val="007725A8"/>
    <w:rsid w:val="00775367"/>
    <w:rsid w:val="007753B5"/>
    <w:rsid w:val="00776739"/>
    <w:rsid w:val="0078283A"/>
    <w:rsid w:val="00786BF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B7D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764A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12F1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3A94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4E6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277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ECAFC"/>
  <w15:docId w15:val="{5EB4ADB3-476E-4555-AB91-CAE41C0C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37</cp:revision>
  <cp:lastPrinted>2014-12-19T09:46:00Z</cp:lastPrinted>
  <dcterms:created xsi:type="dcterms:W3CDTF">2015-07-01T14:16:00Z</dcterms:created>
  <dcterms:modified xsi:type="dcterms:W3CDTF">2018-01-23T13:17:00Z</dcterms:modified>
</cp:coreProperties>
</file>