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B54C0B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400FE4" w:rsidRPr="00400FE4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400FE4" w:rsidRPr="00400FE4">
        <w:rPr>
          <w:rFonts w:ascii="Arial" w:hAnsi="Arial" w:cs="Arial"/>
          <w:b/>
          <w:sz w:val="22"/>
          <w:szCs w:val="22"/>
        </w:rPr>
        <w:t>И</w:t>
      </w:r>
      <w:r w:rsidR="00C6690C" w:rsidRPr="00295D8C">
        <w:rPr>
          <w:rFonts w:ascii="Arial" w:hAnsi="Arial" w:cs="Arial"/>
          <w:b/>
          <w:sz w:val="22"/>
          <w:szCs w:val="22"/>
        </w:rPr>
        <w:t>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54C0B" w:rsidRDefault="00C6690C" w:rsidP="00B54C0B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</w:p>
    <w:p w:rsidR="00B54C0B" w:rsidRPr="00542DD9" w:rsidRDefault="004B512A" w:rsidP="00B54C0B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42DD9">
        <w:rPr>
          <w:rFonts w:ascii="Arial" w:hAnsi="Arial" w:cs="Arial"/>
          <w:sz w:val="22"/>
          <w:szCs w:val="22"/>
        </w:rPr>
        <w:t>ДОБАРА</w:t>
      </w:r>
      <w:r w:rsidRPr="00542DD9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B54C0B" w:rsidRPr="00542DD9">
        <w:rPr>
          <w:rFonts w:ascii="Arial" w:hAnsi="Arial" w:cs="Arial"/>
          <w:sz w:val="22"/>
          <w:szCs w:val="22"/>
        </w:rPr>
        <w:tab/>
      </w:r>
      <w:r w:rsidR="00B54C0B" w:rsidRPr="00542DD9">
        <w:rPr>
          <w:rFonts w:ascii="Arial" w:hAnsi="Arial" w:cs="Arial"/>
          <w:sz w:val="22"/>
          <w:szCs w:val="22"/>
        </w:rPr>
        <w:tab/>
        <w:t xml:space="preserve"> </w:t>
      </w:r>
    </w:p>
    <w:p w:rsidR="00542DD9" w:rsidRDefault="00542DD9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542DD9">
        <w:rPr>
          <w:rFonts w:ascii="Arial" w:hAnsi="Arial" w:cs="Arial"/>
          <w:sz w:val="22"/>
          <w:szCs w:val="22"/>
        </w:rPr>
        <w:t>Капитални ремонт напојне пумпе и фојта бр.2- ТЕ Колубара</w:t>
      </w:r>
    </w:p>
    <w:p w:rsidR="00542DD9" w:rsidRDefault="00542DD9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Default="00542DD9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542DD9">
        <w:rPr>
          <w:rFonts w:ascii="Arial" w:hAnsi="Arial" w:cs="Arial"/>
          <w:sz w:val="22"/>
          <w:szCs w:val="22"/>
        </w:rPr>
        <w:t xml:space="preserve">партија 2- Испорука резервних делова и услуга ремонта </w:t>
      </w:r>
      <w:r>
        <w:rPr>
          <w:rFonts w:ascii="Arial" w:hAnsi="Arial" w:cs="Arial"/>
          <w:sz w:val="22"/>
          <w:szCs w:val="22"/>
        </w:rPr>
        <w:t>V</w:t>
      </w:r>
      <w:r w:rsidRPr="00542DD9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ith</w:t>
      </w:r>
      <w:r w:rsidRPr="00542DD9">
        <w:rPr>
          <w:rFonts w:ascii="Arial" w:hAnsi="Arial" w:cs="Arial"/>
          <w:sz w:val="22"/>
          <w:szCs w:val="22"/>
        </w:rPr>
        <w:t xml:space="preserve">  спојнице </w:t>
      </w:r>
      <w:r w:rsidR="004B512A" w:rsidRPr="00542DD9">
        <w:rPr>
          <w:rFonts w:ascii="Arial" w:hAnsi="Arial" w:cs="Arial"/>
          <w:sz w:val="22"/>
          <w:szCs w:val="22"/>
        </w:rPr>
        <w:t>ТЕНТ-А</w:t>
      </w:r>
    </w:p>
    <w:p w:rsidR="00542DD9" w:rsidRDefault="00542DD9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42DD9" w:rsidRPr="00542DD9" w:rsidRDefault="00542DD9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542DD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42DD9">
        <w:rPr>
          <w:rFonts w:ascii="Arial" w:hAnsi="Arial" w:cs="Arial"/>
          <w:sz w:val="22"/>
          <w:szCs w:val="22"/>
        </w:rPr>
        <w:t xml:space="preserve">- У </w:t>
      </w:r>
      <w:r w:rsidR="00EA07F9" w:rsidRPr="00542DD9">
        <w:rPr>
          <w:rFonts w:ascii="Arial" w:hAnsi="Arial" w:cs="Arial"/>
          <w:sz w:val="22"/>
          <w:szCs w:val="22"/>
          <w:lang w:val="sr-Cyrl-RS"/>
        </w:rPr>
        <w:t>ОТВОРЕНОМ</w:t>
      </w:r>
      <w:r w:rsidRPr="00542DD9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НАБАВКА</w:t>
      </w:r>
      <w:r w:rsidR="004B512A">
        <w:rPr>
          <w:rFonts w:ascii="Arial" w:hAnsi="Arial" w:cs="Arial"/>
          <w:sz w:val="22"/>
          <w:szCs w:val="22"/>
          <w:lang w:val="sr-Cyrl-RS"/>
        </w:rPr>
        <w:t xml:space="preserve">   </w:t>
      </w:r>
      <w:r w:rsidR="00542DD9" w:rsidRPr="00542DD9">
        <w:rPr>
          <w:rFonts w:ascii="Arial" w:hAnsi="Arial" w:cs="Arial"/>
          <w:sz w:val="22"/>
          <w:szCs w:val="22"/>
        </w:rPr>
        <w:t xml:space="preserve">3000/1148/2017 (1736/2017) 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B54C0B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број </w:t>
      </w:r>
      <w:r w:rsidR="009E45ED" w:rsidRPr="009E45ED">
        <w:rPr>
          <w:rFonts w:ascii="Arial" w:hAnsi="Arial" w:cs="Arial"/>
          <w:sz w:val="22"/>
          <w:szCs w:val="22"/>
          <w:lang w:val="sr-Cyrl-RS"/>
        </w:rPr>
        <w:t>105.E.03.01-32299/</w:t>
      </w:r>
      <w:r w:rsidR="009E45ED">
        <w:rPr>
          <w:rFonts w:ascii="Arial" w:hAnsi="Arial" w:cs="Arial"/>
          <w:sz w:val="22"/>
          <w:szCs w:val="22"/>
          <w:lang w:val="sr-Latn-RS"/>
        </w:rPr>
        <w:t>2</w:t>
      </w:r>
      <w:bookmarkStart w:id="0" w:name="_GoBack"/>
      <w:bookmarkEnd w:id="0"/>
      <w:r w:rsidR="009E45ED" w:rsidRPr="009E45ED">
        <w:rPr>
          <w:rFonts w:ascii="Arial" w:hAnsi="Arial" w:cs="Arial"/>
          <w:sz w:val="22"/>
          <w:szCs w:val="22"/>
          <w:lang w:val="sr-Cyrl-RS"/>
        </w:rPr>
        <w:t>-2018 od 18.01.2018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542DD9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4B512A" w:rsidRPr="004B512A" w:rsidRDefault="00B54C0B" w:rsidP="00542DD9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ПРВУ</w:t>
      </w:r>
      <w:r w:rsidR="00400FE4" w:rsidRPr="00400FE4">
        <w:rPr>
          <w:rFonts w:ascii="Arial" w:hAnsi="Arial" w:cs="Arial"/>
          <w:b/>
          <w:i/>
          <w:spacing w:val="80"/>
          <w:sz w:val="22"/>
          <w:szCs w:val="22"/>
          <w:lang w:val="sr-Latn-RS"/>
        </w:rPr>
        <w:t xml:space="preserve"> </w:t>
      </w:r>
      <w:r w:rsidR="00C6690C" w:rsidRPr="004B512A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4B512A" w:rsidRPr="004B512A" w:rsidRDefault="00C6690C" w:rsidP="00542DD9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4B512A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B54C0B" w:rsidRPr="00B54C0B" w:rsidRDefault="00C6690C" w:rsidP="00B54C0B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B512A">
        <w:rPr>
          <w:rFonts w:ascii="Arial" w:hAnsi="Arial" w:cs="Arial"/>
          <w:sz w:val="22"/>
          <w:szCs w:val="22"/>
        </w:rPr>
        <w:t>за јавну набавку</w:t>
      </w:r>
      <w:r w:rsidRPr="004B512A">
        <w:rPr>
          <w:rFonts w:ascii="Arial" w:hAnsi="Arial" w:cs="Arial"/>
          <w:sz w:val="22"/>
          <w:szCs w:val="22"/>
          <w:lang w:val="ru-RU"/>
        </w:rPr>
        <w:t xml:space="preserve"> </w:t>
      </w:r>
      <w:r w:rsidR="00B54C0B" w:rsidRPr="00B54C0B">
        <w:rPr>
          <w:rFonts w:ascii="Arial" w:hAnsi="Arial" w:cs="Arial"/>
          <w:sz w:val="22"/>
          <w:szCs w:val="22"/>
        </w:rPr>
        <w:tab/>
      </w:r>
      <w:r w:rsidR="00B54C0B" w:rsidRPr="00B54C0B">
        <w:rPr>
          <w:rFonts w:ascii="Arial" w:hAnsi="Arial" w:cs="Arial"/>
          <w:sz w:val="22"/>
          <w:szCs w:val="22"/>
        </w:rPr>
        <w:tab/>
        <w:t xml:space="preserve"> </w:t>
      </w:r>
    </w:p>
    <w:p w:rsidR="004B512A" w:rsidRPr="004B512A" w:rsidRDefault="00542DD9" w:rsidP="004B512A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542DD9">
        <w:rPr>
          <w:rFonts w:ascii="Arial" w:hAnsi="Arial" w:cs="Arial"/>
          <w:sz w:val="22"/>
          <w:szCs w:val="22"/>
        </w:rPr>
        <w:t xml:space="preserve">Капитални ремонт напојне пумпе и фојта бр.2- ТЕ Колубара, </w:t>
      </w:r>
      <w:r w:rsidRPr="00542DD9">
        <w:rPr>
          <w:rFonts w:ascii="Arial" w:hAnsi="Arial" w:cs="Arial"/>
          <w:b/>
          <w:sz w:val="22"/>
          <w:szCs w:val="22"/>
        </w:rPr>
        <w:t>партија 2-</w:t>
      </w:r>
      <w:r w:rsidRPr="00542DD9">
        <w:rPr>
          <w:rFonts w:ascii="Arial" w:hAnsi="Arial" w:cs="Arial"/>
          <w:sz w:val="22"/>
          <w:szCs w:val="22"/>
        </w:rPr>
        <w:t xml:space="preserve"> Испорука резервних делова и услуга ремонта Vоith  спојнице</w:t>
      </w:r>
    </w:p>
    <w:p w:rsidR="004B512A" w:rsidRPr="004B512A" w:rsidRDefault="004B512A" w:rsidP="004B512A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4B512A" w:rsidRDefault="004B512A" w:rsidP="004B512A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B512A">
        <w:rPr>
          <w:rFonts w:ascii="Arial" w:hAnsi="Arial" w:cs="Arial"/>
          <w:sz w:val="22"/>
          <w:szCs w:val="22"/>
        </w:rPr>
        <w:t xml:space="preserve">ЈАВНА НАБАВКА  </w:t>
      </w:r>
      <w:r w:rsidR="00B54C0B" w:rsidRPr="00B54C0B">
        <w:rPr>
          <w:rFonts w:ascii="Arial" w:hAnsi="Arial" w:cs="Arial"/>
          <w:sz w:val="22"/>
          <w:szCs w:val="22"/>
        </w:rPr>
        <w:t xml:space="preserve">ЈАВНА НАБАВКА   </w:t>
      </w:r>
      <w:r w:rsidR="00542DD9" w:rsidRPr="00542DD9">
        <w:rPr>
          <w:rFonts w:ascii="Arial" w:hAnsi="Arial" w:cs="Arial"/>
          <w:sz w:val="22"/>
          <w:szCs w:val="22"/>
        </w:rPr>
        <w:t xml:space="preserve">3000/1148/2017 (1736/2017)  </w:t>
      </w:r>
    </w:p>
    <w:p w:rsidR="00C6690C" w:rsidRPr="004B512A" w:rsidRDefault="00B54C0B" w:rsidP="00B54C0B">
      <w:pPr>
        <w:tabs>
          <w:tab w:val="left" w:pos="637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E2519" w:rsidRPr="00542DD9" w:rsidRDefault="00C6690C" w:rsidP="00542D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4B512A">
        <w:rPr>
          <w:rFonts w:ascii="Arial" w:hAnsi="Arial" w:cs="Arial"/>
          <w:sz w:val="22"/>
          <w:szCs w:val="22"/>
        </w:rPr>
        <w:t>1.</w:t>
      </w:r>
      <w:bookmarkStart w:id="1" w:name="_Toc441651579"/>
      <w:bookmarkStart w:id="2" w:name="_Toc442559890"/>
    </w:p>
    <w:p w:rsidR="00AE2519" w:rsidRPr="00542DD9" w:rsidRDefault="00AE2519" w:rsidP="00AE2519">
      <w:pPr>
        <w:pStyle w:val="KDPodnaslov2"/>
        <w:numPr>
          <w:ilvl w:val="0"/>
          <w:numId w:val="24"/>
        </w:numPr>
        <w:spacing w:before="0"/>
        <w:jc w:val="both"/>
        <w:rPr>
          <w:rFonts w:cs="Arial"/>
          <w:b w:val="0"/>
          <w:lang w:val="sr-Cyrl-RS"/>
        </w:rPr>
      </w:pPr>
      <w:r>
        <w:rPr>
          <w:rFonts w:cs="Arial"/>
          <w:b w:val="0"/>
          <w:lang w:val="sr-Cyrl-RS"/>
        </w:rPr>
        <w:t>Мења се рок испоруке :</w:t>
      </w:r>
    </w:p>
    <w:bookmarkEnd w:id="1"/>
    <w:bookmarkEnd w:id="2"/>
    <w:p w:rsidR="00AE2519" w:rsidRDefault="00AE2519" w:rsidP="00AE2519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одељку 3 ТЕХНИЧКА СПЕЦИФИКАЦИЈА , тачка 3</w:t>
      </w:r>
      <w:r w:rsidR="00542DD9">
        <w:rPr>
          <w:rFonts w:ascii="Arial" w:hAnsi="Arial" w:cs="Arial"/>
          <w:sz w:val="22"/>
          <w:szCs w:val="22"/>
          <w:lang w:val="sr-Cyrl-RS"/>
        </w:rPr>
        <w:t xml:space="preserve">.5 , Партија 2. </w:t>
      </w:r>
    </w:p>
    <w:p w:rsidR="00AE2519" w:rsidRPr="00AE2519" w:rsidRDefault="00AE2519" w:rsidP="00AE2519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  <w:lang w:val="sr-Cyrl-RS"/>
        </w:rPr>
      </w:pPr>
      <w:r w:rsidRPr="00AE2519">
        <w:rPr>
          <w:rFonts w:ascii="Arial" w:hAnsi="Arial" w:cs="Arial"/>
          <w:sz w:val="22"/>
          <w:szCs w:val="22"/>
          <w:lang w:val="sr-Cyrl-RS"/>
        </w:rPr>
        <w:t>у одељку 6.  УПУТСТВО ПОНУЂАЧИМА КАКО ДА САЧИНЕ ПОНУДУ</w:t>
      </w:r>
      <w:r>
        <w:rPr>
          <w:rFonts w:ascii="Arial" w:hAnsi="Arial" w:cs="Arial"/>
          <w:sz w:val="22"/>
          <w:szCs w:val="22"/>
          <w:lang w:val="sr-Cyrl-RS"/>
        </w:rPr>
        <w:t xml:space="preserve"> тачка 6.13</w:t>
      </w:r>
      <w:r w:rsidR="00542DD9">
        <w:rPr>
          <w:rFonts w:ascii="Arial" w:hAnsi="Arial" w:cs="Arial"/>
          <w:sz w:val="22"/>
          <w:szCs w:val="22"/>
          <w:lang w:val="sr-Cyrl-RS"/>
        </w:rPr>
        <w:t>, Партија 2:</w:t>
      </w:r>
    </w:p>
    <w:p w:rsidR="00AE2519" w:rsidRPr="00AE2519" w:rsidRDefault="00AE2519" w:rsidP="00542DD9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одељку 7</w:t>
      </w:r>
      <w:r w:rsidRPr="00AE2519">
        <w:t xml:space="preserve"> </w:t>
      </w:r>
      <w:r w:rsidRPr="00AE2519">
        <w:rPr>
          <w:rFonts w:ascii="Arial" w:hAnsi="Arial" w:cs="Arial"/>
          <w:sz w:val="22"/>
          <w:szCs w:val="22"/>
          <w:lang w:val="sr-Cyrl-RS"/>
        </w:rPr>
        <w:t>ОБРАСЦИ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AE2519">
        <w:rPr>
          <w:rFonts w:ascii="Arial" w:hAnsi="Arial" w:cs="Arial"/>
          <w:sz w:val="22"/>
          <w:szCs w:val="22"/>
          <w:lang w:val="sr-Cyrl-RS"/>
        </w:rPr>
        <w:t>ОБРАЗАЦ 1.</w:t>
      </w:r>
      <w:r w:rsidR="00542DD9">
        <w:rPr>
          <w:rFonts w:ascii="Arial" w:hAnsi="Arial" w:cs="Arial"/>
          <w:sz w:val="22"/>
          <w:szCs w:val="22"/>
          <w:lang w:val="sr-Cyrl-RS"/>
        </w:rPr>
        <w:t xml:space="preserve">А </w:t>
      </w:r>
      <w:r w:rsidRPr="00AE2519">
        <w:rPr>
          <w:rFonts w:ascii="Arial" w:hAnsi="Arial" w:cs="Arial"/>
          <w:sz w:val="22"/>
          <w:szCs w:val="22"/>
          <w:lang w:val="sr-Cyrl-RS"/>
        </w:rPr>
        <w:t>ОБРАЗАЦ ПОНУДЕ</w:t>
      </w:r>
      <w:r w:rsidR="00542DD9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542DD9" w:rsidRPr="00542DD9">
        <w:rPr>
          <w:rFonts w:ascii="Arial" w:hAnsi="Arial" w:cs="Arial"/>
          <w:sz w:val="22"/>
          <w:szCs w:val="22"/>
          <w:lang w:val="sr-Cyrl-RS"/>
        </w:rPr>
        <w:t xml:space="preserve"> ЦЕНА И КОМЕРЦИЈАЛНИ УСЛОВИ ПОНУДЕ</w:t>
      </w:r>
    </w:p>
    <w:p w:rsidR="00AE2519" w:rsidRPr="00542DD9" w:rsidRDefault="00AE2519" w:rsidP="00AE2519">
      <w:pPr>
        <w:pStyle w:val="ListParagraph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42DD9">
        <w:rPr>
          <w:rFonts w:ascii="Arial" w:hAnsi="Arial" w:cs="Arial"/>
          <w:b/>
          <w:sz w:val="22"/>
          <w:szCs w:val="22"/>
          <w:lang w:val="sr-Cyrl-RS"/>
        </w:rPr>
        <w:t>који гласи :</w:t>
      </w:r>
    </w:p>
    <w:p w:rsidR="00542DD9" w:rsidRPr="00542DD9" w:rsidRDefault="00542DD9" w:rsidP="00542DD9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  <w:r w:rsidRPr="00542DD9">
        <w:rPr>
          <w:rFonts w:ascii="Arial" w:hAnsi="Arial" w:cs="Arial"/>
          <w:sz w:val="22"/>
          <w:szCs w:val="22"/>
          <w:lang w:val="sr-Cyrl-RS"/>
        </w:rPr>
        <w:t>Рок за испоруку резервних делова позиције 2.1-2.4  обрасца структуре цене (образац бр. 2А), не може бити дужи од 120 д</w:t>
      </w:r>
      <w:r>
        <w:rPr>
          <w:rFonts w:ascii="Arial" w:hAnsi="Arial" w:cs="Arial"/>
          <w:sz w:val="22"/>
          <w:szCs w:val="22"/>
          <w:lang w:val="sr-Cyrl-RS"/>
        </w:rPr>
        <w:t xml:space="preserve">ана од дана закључења Уговора. </w:t>
      </w:r>
    </w:p>
    <w:p w:rsidR="00AE2519" w:rsidRDefault="00542DD9" w:rsidP="00542DD9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  <w:r w:rsidRPr="00542DD9">
        <w:rPr>
          <w:rFonts w:ascii="Arial" w:hAnsi="Arial" w:cs="Arial"/>
          <w:sz w:val="22"/>
          <w:szCs w:val="22"/>
          <w:lang w:val="sr-Cyrl-RS"/>
        </w:rPr>
        <w:t>Рок извршења услуга,  позиције 1.1-1,2 обрасца структуре цене (образац бр. 2А), не може бити дужи од 15 дана од дана увођења у посао, а најкасније у року од 12 месеци од дана закључења уговора. Наручилац ће писаним путем обавестити Изабраног Понуђача најмање 3 дана пре увођења у посао.</w:t>
      </w:r>
      <w:r w:rsidR="00AE2519" w:rsidRPr="00AE2519">
        <w:rPr>
          <w:rFonts w:ascii="Arial" w:hAnsi="Arial" w:cs="Arial"/>
          <w:sz w:val="22"/>
          <w:szCs w:val="22"/>
          <w:lang w:val="sr-Cyrl-RS"/>
        </w:rPr>
        <w:t>.</w:t>
      </w:r>
    </w:p>
    <w:p w:rsidR="00AE2519" w:rsidRPr="00542DD9" w:rsidRDefault="00AE2519" w:rsidP="00AE2519">
      <w:pPr>
        <w:pStyle w:val="ListParagraph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42DD9">
        <w:rPr>
          <w:rFonts w:ascii="Arial" w:hAnsi="Arial" w:cs="Arial"/>
          <w:b/>
          <w:sz w:val="22"/>
          <w:szCs w:val="22"/>
          <w:lang w:val="sr-Cyrl-RS"/>
        </w:rPr>
        <w:t>Треба да гласи:</w:t>
      </w:r>
    </w:p>
    <w:p w:rsidR="00542DD9" w:rsidRPr="00542DD9" w:rsidRDefault="00542DD9" w:rsidP="00542DD9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  <w:r w:rsidRPr="00542DD9">
        <w:rPr>
          <w:rFonts w:ascii="Arial" w:hAnsi="Arial" w:cs="Arial"/>
          <w:sz w:val="22"/>
          <w:szCs w:val="22"/>
          <w:lang w:val="sr-Cyrl-RS"/>
        </w:rPr>
        <w:t xml:space="preserve">Рок за испоруку резервних делова позиције 2.1-2.4  обрасца структуре цене (образац бр. 2А), не може бити дужи од </w:t>
      </w:r>
      <w:r>
        <w:rPr>
          <w:rFonts w:ascii="Arial" w:hAnsi="Arial" w:cs="Arial"/>
          <w:sz w:val="22"/>
          <w:szCs w:val="22"/>
          <w:lang w:val="sr-Cyrl-RS"/>
        </w:rPr>
        <w:t xml:space="preserve">7 месеци од дана закључења Уговора. </w:t>
      </w:r>
    </w:p>
    <w:p w:rsidR="00542DD9" w:rsidRDefault="00542DD9" w:rsidP="00542DD9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  <w:r w:rsidRPr="00542DD9">
        <w:rPr>
          <w:rFonts w:ascii="Arial" w:hAnsi="Arial" w:cs="Arial"/>
          <w:sz w:val="22"/>
          <w:szCs w:val="22"/>
          <w:lang w:val="sr-Cyrl-RS"/>
        </w:rPr>
        <w:t>Рок извршења услуга,  позиције 1.1-1,2 обрасца структуре цене (образац бр. 2А), не може бити дужи од 15 дана од дана увођења у посао, а најкасније у року од 12 месеци од дана закључења уговора. Наручилац ће писаним путем обавестити Изабраног Понуђача најмање 3 дана пре увођења у посао.</w:t>
      </w:r>
    </w:p>
    <w:p w:rsidR="00AE2519" w:rsidRDefault="00AE2519" w:rsidP="00542DD9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AE2519" w:rsidRPr="00AE2519" w:rsidRDefault="00AE2519" w:rsidP="00AE2519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Образац понуде мења се у делу 5</w:t>
      </w:r>
      <w:r w:rsidRPr="00AE2519">
        <w:rPr>
          <w:rFonts w:ascii="Arial" w:hAnsi="Arial" w:cs="Arial"/>
          <w:sz w:val="22"/>
          <w:szCs w:val="22"/>
          <w:lang w:val="sr-Cyrl-RS"/>
        </w:rPr>
        <w:t>ЦЕНА И КОМЕРЦИЈАЛНИ УСЛОВИ ПОНУДЕ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</w:p>
    <w:p w:rsidR="001F4374" w:rsidRPr="003F0E74" w:rsidRDefault="00AE2519" w:rsidP="00542DD9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  <w:r w:rsidRPr="00AE2519">
        <w:rPr>
          <w:rFonts w:ascii="Arial" w:hAnsi="Arial" w:cs="Arial"/>
          <w:sz w:val="22"/>
          <w:szCs w:val="22"/>
          <w:lang w:val="sr-Cyrl-RS"/>
        </w:rPr>
        <w:t>ЦЕНА</w:t>
      </w:r>
      <w:r>
        <w:rPr>
          <w:rFonts w:ascii="Arial" w:hAnsi="Arial" w:cs="Arial"/>
          <w:sz w:val="22"/>
          <w:szCs w:val="22"/>
          <w:lang w:val="sr-Cyrl-RS"/>
        </w:rPr>
        <w:t xml:space="preserve"> и сада гласи као у прилогу 1.</w:t>
      </w:r>
    </w:p>
    <w:p w:rsidR="001F4374" w:rsidRPr="003F0E74" w:rsidRDefault="00542DD9" w:rsidP="001F437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1F4374" w:rsidRPr="003F0E74">
        <w:rPr>
          <w:rFonts w:ascii="Arial" w:hAnsi="Arial" w:cs="Arial"/>
          <w:sz w:val="22"/>
          <w:szCs w:val="22"/>
        </w:rPr>
        <w:t>.</w:t>
      </w:r>
    </w:p>
    <w:p w:rsidR="001F4374" w:rsidRPr="00542DD9" w:rsidRDefault="001F4374" w:rsidP="001F437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F0E74">
        <w:rPr>
          <w:rFonts w:ascii="Arial" w:hAnsi="Arial" w:cs="Arial"/>
          <w:sz w:val="22"/>
          <w:szCs w:val="22"/>
        </w:rPr>
        <w:t>Ов</w:t>
      </w:r>
      <w:r w:rsidRPr="003F0E74">
        <w:rPr>
          <w:rFonts w:ascii="Arial" w:hAnsi="Arial" w:cs="Arial"/>
          <w:sz w:val="22"/>
          <w:szCs w:val="22"/>
          <w:lang w:val="sr-Cyrl-RS"/>
        </w:rPr>
        <w:t>е</w:t>
      </w:r>
      <w:r w:rsidRPr="003F0E74">
        <w:rPr>
          <w:rFonts w:ascii="Arial" w:hAnsi="Arial" w:cs="Arial"/>
          <w:sz w:val="22"/>
          <w:szCs w:val="22"/>
        </w:rPr>
        <w:t xml:space="preserve"> измен</w:t>
      </w:r>
      <w:r w:rsidRPr="003F0E74">
        <w:rPr>
          <w:rFonts w:ascii="Arial" w:hAnsi="Arial" w:cs="Arial"/>
          <w:sz w:val="22"/>
          <w:szCs w:val="22"/>
          <w:lang w:val="sr-Cyrl-RS"/>
        </w:rPr>
        <w:t>е</w:t>
      </w:r>
      <w:r w:rsidRPr="003F0E74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3F0E74">
        <w:rPr>
          <w:rFonts w:ascii="Arial" w:hAnsi="Arial" w:cs="Arial"/>
          <w:sz w:val="22"/>
          <w:szCs w:val="22"/>
          <w:lang w:val="ru-RU"/>
        </w:rPr>
        <w:t>и</w:t>
      </w:r>
      <w:r w:rsidRPr="003F0E74">
        <w:rPr>
          <w:rFonts w:ascii="Arial" w:hAnsi="Arial" w:cs="Arial"/>
          <w:sz w:val="22"/>
          <w:szCs w:val="22"/>
        </w:rPr>
        <w:t>је се објављуј</w:t>
      </w:r>
      <w:r w:rsidRPr="003F0E74">
        <w:rPr>
          <w:rFonts w:ascii="Arial" w:hAnsi="Arial" w:cs="Arial"/>
          <w:sz w:val="22"/>
          <w:szCs w:val="22"/>
          <w:lang w:val="sr-Cyrl-RS"/>
        </w:rPr>
        <w:t>у</w:t>
      </w:r>
      <w:r w:rsidRPr="003F0E74">
        <w:rPr>
          <w:rFonts w:ascii="Arial" w:hAnsi="Arial" w:cs="Arial"/>
          <w:sz w:val="22"/>
          <w:szCs w:val="22"/>
        </w:rPr>
        <w:t xml:space="preserve"> на Порталу УЈН и </w:t>
      </w:r>
      <w:r w:rsidRPr="003F0E74">
        <w:rPr>
          <w:rFonts w:ascii="Arial" w:hAnsi="Arial" w:cs="Arial"/>
          <w:sz w:val="22"/>
          <w:szCs w:val="22"/>
          <w:lang w:val="sr-Cyrl-RS"/>
        </w:rPr>
        <w:t>и</w:t>
      </w:r>
      <w:r w:rsidRPr="003F0E74">
        <w:rPr>
          <w:rFonts w:ascii="Arial" w:hAnsi="Arial" w:cs="Arial"/>
          <w:sz w:val="22"/>
          <w:szCs w:val="22"/>
        </w:rPr>
        <w:t>нтернет страници Наручиоца.</w:t>
      </w:r>
    </w:p>
    <w:p w:rsidR="001F4374" w:rsidRPr="003F0E74" w:rsidRDefault="001F4374" w:rsidP="001F437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1F4374" w:rsidRPr="003F0E74" w:rsidRDefault="001F4374" w:rsidP="001F4374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3F0E74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1F4374" w:rsidRPr="003F0E74" w:rsidRDefault="001F4374" w:rsidP="001F4374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>_______________________</w:t>
      </w:r>
    </w:p>
    <w:p w:rsidR="001F4374" w:rsidRPr="003F0E74" w:rsidRDefault="001F4374" w:rsidP="001F4374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1F4374" w:rsidRPr="003F0E74" w:rsidRDefault="001F4374" w:rsidP="001F4374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>_______________________</w:t>
      </w:r>
    </w:p>
    <w:p w:rsidR="001F4374" w:rsidRPr="003F0E74" w:rsidRDefault="001F4374" w:rsidP="001F4374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1F4374" w:rsidRPr="003F0E74" w:rsidRDefault="001F4374" w:rsidP="001F4374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>_______________________</w:t>
      </w:r>
    </w:p>
    <w:p w:rsidR="001F4374" w:rsidRPr="00BC5D3E" w:rsidRDefault="001F4374" w:rsidP="001F4374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</w:t>
      </w:r>
    </w:p>
    <w:p w:rsidR="001F4374" w:rsidRPr="003F0E74" w:rsidRDefault="001F4374" w:rsidP="001F4374">
      <w:pPr>
        <w:rPr>
          <w:rFonts w:ascii="Arial" w:hAnsi="Arial" w:cs="Arial"/>
          <w:sz w:val="22"/>
          <w:szCs w:val="22"/>
        </w:rPr>
      </w:pPr>
      <w:r w:rsidRPr="003F0E74">
        <w:rPr>
          <w:rFonts w:ascii="Arial" w:hAnsi="Arial" w:cs="Arial"/>
          <w:sz w:val="22"/>
          <w:szCs w:val="22"/>
        </w:rPr>
        <w:t>Доставити:</w:t>
      </w:r>
    </w:p>
    <w:p w:rsidR="001F4374" w:rsidRPr="00BC5D3E" w:rsidRDefault="001F4374" w:rsidP="001F4374">
      <w:pPr>
        <w:rPr>
          <w:rFonts w:ascii="Arial" w:hAnsi="Arial" w:cs="Arial"/>
          <w:sz w:val="22"/>
          <w:szCs w:val="22"/>
          <w:lang w:val="sr-Cyrl-RS"/>
        </w:rPr>
      </w:pPr>
      <w:r w:rsidRPr="003F0E74">
        <w:rPr>
          <w:rFonts w:ascii="Arial" w:hAnsi="Arial" w:cs="Arial"/>
          <w:sz w:val="22"/>
          <w:szCs w:val="22"/>
        </w:rPr>
        <w:t>- Архиви</w:t>
      </w:r>
    </w:p>
    <w:p w:rsidR="00AE2519" w:rsidRDefault="00AE2519" w:rsidP="001F4374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E2519" w:rsidRDefault="00AE2519" w:rsidP="001F4374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Прилог 1.  </w:t>
      </w:r>
    </w:p>
    <w:p w:rsidR="00542DD9" w:rsidRPr="00542DD9" w:rsidRDefault="00542DD9" w:rsidP="00542DD9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sr-Latn-RS" w:eastAsia="en-US"/>
        </w:rPr>
      </w:pPr>
      <w:r w:rsidRPr="00542DD9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>ЦЕНА И КОМЕРЦИЈАЛНИ УСЛОВИ ПОНУДЕ</w:t>
      </w:r>
    </w:p>
    <w:p w:rsidR="00542DD9" w:rsidRPr="00542DD9" w:rsidRDefault="00542DD9" w:rsidP="00542DD9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</w:pPr>
    </w:p>
    <w:p w:rsidR="00542DD9" w:rsidRPr="00542DD9" w:rsidRDefault="00542DD9" w:rsidP="004333EB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val="sr-Cyrl-RS" w:eastAsia="en-US"/>
        </w:rPr>
      </w:pPr>
      <w:r w:rsidRPr="00542DD9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17"/>
      </w:tblGrid>
      <w:tr w:rsidR="00542DD9" w:rsidRPr="00542DD9" w:rsidTr="00594BAB">
        <w:trPr>
          <w:trHeight w:val="485"/>
        </w:trPr>
        <w:tc>
          <w:tcPr>
            <w:tcW w:w="4928" w:type="dxa"/>
            <w:shd w:val="clear" w:color="auto" w:fill="C6D9F1" w:themeFill="text2" w:themeFillTint="33"/>
            <w:vAlign w:val="center"/>
          </w:tcPr>
          <w:p w:rsidR="00542DD9" w:rsidRPr="00542DD9" w:rsidRDefault="00542DD9" w:rsidP="00542DD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42DD9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ПРЕДМЕТ </w:t>
            </w:r>
            <w:r w:rsidRPr="00542DD9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 xml:space="preserve">И БРОЈ </w:t>
            </w:r>
            <w:r w:rsidRPr="00542DD9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НАБАВКЕ</w:t>
            </w:r>
          </w:p>
        </w:tc>
        <w:tc>
          <w:tcPr>
            <w:tcW w:w="4317" w:type="dxa"/>
            <w:shd w:val="clear" w:color="auto" w:fill="C6D9F1" w:themeFill="text2" w:themeFillTint="33"/>
            <w:vAlign w:val="center"/>
          </w:tcPr>
          <w:p w:rsidR="00542DD9" w:rsidRPr="00542DD9" w:rsidRDefault="00542DD9" w:rsidP="00542DD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42DD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УКУПНА ЦЕНА </w:t>
            </w:r>
            <w:r w:rsidRPr="00542DD9">
              <w:rPr>
                <w:rFonts w:ascii="Arial" w:eastAsia="Arial Unicode MS" w:hAnsi="Arial" w:cs="Arial"/>
                <w:b/>
                <w:bCs/>
                <w:iCs/>
                <w:kern w:val="1"/>
                <w:sz w:val="22"/>
                <w:szCs w:val="22"/>
              </w:rPr>
              <w:t xml:space="preserve">дин. </w:t>
            </w:r>
            <w:r w:rsidRPr="00542DD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без ПДВ-а</w:t>
            </w:r>
          </w:p>
        </w:tc>
      </w:tr>
      <w:tr w:rsidR="00542DD9" w:rsidRPr="00542DD9" w:rsidTr="00594BAB">
        <w:trPr>
          <w:trHeight w:val="440"/>
        </w:trPr>
        <w:tc>
          <w:tcPr>
            <w:tcW w:w="4928" w:type="dxa"/>
            <w:vAlign w:val="center"/>
          </w:tcPr>
          <w:p w:rsidR="00542DD9" w:rsidRPr="00542DD9" w:rsidRDefault="00542DD9" w:rsidP="00542DD9">
            <w:pPr>
              <w:tabs>
                <w:tab w:val="center" w:pos="4320"/>
                <w:tab w:val="right" w:pos="8640"/>
              </w:tabs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542DD9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ЈН 3000/1148/2017 (1736/2017). </w:t>
            </w:r>
          </w:p>
          <w:p w:rsidR="00542DD9" w:rsidRPr="00542DD9" w:rsidRDefault="00542DD9" w:rsidP="00542DD9">
            <w:pPr>
              <w:tabs>
                <w:tab w:val="center" w:pos="4320"/>
                <w:tab w:val="right" w:pos="8640"/>
              </w:tabs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542DD9">
              <w:rPr>
                <w:rFonts w:ascii="Arial" w:hAnsi="Arial"/>
                <w:sz w:val="22"/>
                <w:szCs w:val="22"/>
                <w:lang w:val="sr-Cyrl-RS" w:eastAsia="en-US"/>
              </w:rPr>
              <w:t>П</w:t>
            </w:r>
            <w:r w:rsidRPr="00542DD9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 xml:space="preserve">арија 2. </w:t>
            </w:r>
            <w:r w:rsidRPr="00542DD9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Испорука резервних делова и услуга ремонта Vоith  спојнице  </w:t>
            </w:r>
            <w:r w:rsidRPr="00542DD9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</w:p>
          <w:p w:rsidR="00542DD9" w:rsidRPr="00542DD9" w:rsidRDefault="00542DD9" w:rsidP="00542DD9">
            <w:pPr>
              <w:tabs>
                <w:tab w:val="center" w:pos="4320"/>
                <w:tab w:val="right" w:pos="8640"/>
              </w:tabs>
              <w:suppressAutoHyphens w:val="0"/>
              <w:spacing w:before="120"/>
              <w:jc w:val="both"/>
              <w:rPr>
                <w:rFonts w:ascii="Arial" w:hAnsi="Arial"/>
                <w:szCs w:val="24"/>
                <w:lang w:val="sr-Latn-RS"/>
              </w:rPr>
            </w:pPr>
          </w:p>
        </w:tc>
        <w:tc>
          <w:tcPr>
            <w:tcW w:w="4317" w:type="dxa"/>
          </w:tcPr>
          <w:p w:rsidR="00542DD9" w:rsidRPr="00542DD9" w:rsidRDefault="00542DD9" w:rsidP="00542DD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42DD9" w:rsidRPr="00542DD9" w:rsidRDefault="00542DD9" w:rsidP="00542DD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542DD9" w:rsidRPr="00542DD9" w:rsidRDefault="00542DD9" w:rsidP="00542DD9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val="sr-Cyrl-RS" w:eastAsia="en-US"/>
        </w:rPr>
      </w:pPr>
    </w:p>
    <w:p w:rsidR="00542DD9" w:rsidRPr="00542DD9" w:rsidRDefault="00542DD9" w:rsidP="00542DD9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val="sr-Latn-RS" w:eastAsia="en-US"/>
        </w:rPr>
      </w:pPr>
      <w:r w:rsidRPr="00542DD9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КОМЕРЦИЈАЛНИ УСЛОВИ</w:t>
      </w:r>
    </w:p>
    <w:p w:rsidR="00542DD9" w:rsidRPr="00542DD9" w:rsidRDefault="00542DD9" w:rsidP="00542DD9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r-Latn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52"/>
        <w:gridCol w:w="65"/>
      </w:tblGrid>
      <w:tr w:rsidR="00542DD9" w:rsidRPr="00542DD9" w:rsidTr="00594BAB">
        <w:trPr>
          <w:trHeight w:val="647"/>
        </w:trPr>
        <w:tc>
          <w:tcPr>
            <w:tcW w:w="4928" w:type="dxa"/>
            <w:shd w:val="clear" w:color="auto" w:fill="C6D9F1" w:themeFill="text2" w:themeFillTint="33"/>
            <w:vAlign w:val="center"/>
          </w:tcPr>
          <w:p w:rsidR="00542DD9" w:rsidRPr="00542DD9" w:rsidRDefault="00542DD9" w:rsidP="00542DD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542DD9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УСЛОВ НАРУЧИОЦА</w:t>
            </w:r>
          </w:p>
        </w:tc>
        <w:tc>
          <w:tcPr>
            <w:tcW w:w="4317" w:type="dxa"/>
            <w:gridSpan w:val="2"/>
            <w:shd w:val="clear" w:color="auto" w:fill="C6D9F1" w:themeFill="text2" w:themeFillTint="33"/>
            <w:vAlign w:val="center"/>
          </w:tcPr>
          <w:p w:rsidR="00542DD9" w:rsidRPr="00542DD9" w:rsidRDefault="00542DD9" w:rsidP="00542DD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542DD9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ПОНУДА ПОНУЂАЧА</w:t>
            </w:r>
          </w:p>
        </w:tc>
      </w:tr>
      <w:tr w:rsidR="00542DD9" w:rsidRPr="00542DD9" w:rsidTr="00594BAB">
        <w:trPr>
          <w:gridAfter w:val="1"/>
          <w:wAfter w:w="65" w:type="dxa"/>
        </w:trPr>
        <w:tc>
          <w:tcPr>
            <w:tcW w:w="4928" w:type="dxa"/>
            <w:vAlign w:val="center"/>
          </w:tcPr>
          <w:p w:rsidR="00542DD9" w:rsidRPr="00542DD9" w:rsidRDefault="00542DD9" w:rsidP="00542DD9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542DD9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-</w:t>
            </w:r>
            <w:r w:rsidRPr="00542DD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 НАЧИН ПЛАЋАЊА:</w:t>
            </w:r>
          </w:p>
          <w:p w:rsidR="00542DD9" w:rsidRPr="00542DD9" w:rsidRDefault="00542DD9" w:rsidP="00542DD9">
            <w:pPr>
              <w:tabs>
                <w:tab w:val="left" w:pos="567"/>
              </w:tabs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42DD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Плаћање испоручених добара који су предмет ове јавне набавке,</w:t>
            </w:r>
            <w:r w:rsidRPr="00542DD9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542DD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42DD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Наручилац</w:t>
            </w:r>
            <w:r w:rsidRPr="00542DD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ће извршити на текући рачун </w:t>
            </w:r>
            <w:r w:rsidRPr="00542DD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Изабраног </w:t>
            </w:r>
            <w:r w:rsidRPr="00542DD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понуђача на следећи начин:</w:t>
            </w:r>
          </w:p>
          <w:p w:rsidR="00542DD9" w:rsidRPr="00542DD9" w:rsidRDefault="00542DD9" w:rsidP="00542DD9">
            <w:pPr>
              <w:tabs>
                <w:tab w:val="left" w:pos="567"/>
              </w:tabs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542DD9" w:rsidRPr="00542DD9" w:rsidRDefault="00542DD9" w:rsidP="00542DD9">
            <w:pPr>
              <w:numPr>
                <w:ilvl w:val="0"/>
                <w:numId w:val="14"/>
              </w:numPr>
              <w:tabs>
                <w:tab w:val="left" w:pos="567"/>
              </w:tabs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42DD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 </w:t>
            </w:r>
            <w:r w:rsidRPr="00542DD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сукцесивно након сваке испоруке и потписивања Записника о квалитативном и квантитативном пријему добара од стране овлашћених представника Наручиоца и Изабраног Понуђача без примедби,  у законском року до 45 дана од пријема исправне фактуре. </w:t>
            </w:r>
          </w:p>
          <w:p w:rsidR="00542DD9" w:rsidRPr="00542DD9" w:rsidRDefault="00542DD9" w:rsidP="00542DD9">
            <w:pPr>
              <w:tabs>
                <w:tab w:val="left" w:pos="567"/>
              </w:tabs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42DD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Плаћање </w:t>
            </w:r>
            <w:r w:rsidRPr="00542DD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извршених услуга </w:t>
            </w:r>
            <w:r w:rsidRPr="00542DD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који су предмет ове јавне набавке,</w:t>
            </w:r>
            <w:r w:rsidRPr="00542DD9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542DD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42DD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Наручилац</w:t>
            </w:r>
            <w:r w:rsidRPr="00542DD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ће извршити на текући рачун </w:t>
            </w:r>
            <w:r w:rsidRPr="00542DD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Изабраног </w:t>
            </w:r>
            <w:r w:rsidRPr="00542DD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понуђача на следећи начин:</w:t>
            </w:r>
          </w:p>
          <w:p w:rsidR="00542DD9" w:rsidRPr="00542DD9" w:rsidRDefault="00542DD9" w:rsidP="00542DD9">
            <w:pPr>
              <w:tabs>
                <w:tab w:val="left" w:pos="567"/>
              </w:tabs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542DD9" w:rsidRPr="00542DD9" w:rsidRDefault="00542DD9" w:rsidP="00542DD9">
            <w:pPr>
              <w:numPr>
                <w:ilvl w:val="0"/>
                <w:numId w:val="14"/>
              </w:numPr>
              <w:tabs>
                <w:tab w:val="left" w:pos="567"/>
              </w:tabs>
              <w:suppressAutoHyphens w:val="0"/>
              <w:spacing w:before="120" w:after="200" w:line="276" w:lineRule="auto"/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val="sr-Latn-RS" w:eastAsia="en-US"/>
              </w:rPr>
            </w:pPr>
            <w:r w:rsidRPr="00542DD9">
              <w:rPr>
                <w:rFonts w:ascii="Calibri" w:eastAsia="Calibri" w:hAnsi="Calibri" w:cs="Arial"/>
                <w:sz w:val="22"/>
                <w:szCs w:val="22"/>
                <w:lang w:val="sr-Latn-RS" w:eastAsia="en-US"/>
              </w:rPr>
              <w:t xml:space="preserve">  </w:t>
            </w:r>
            <w:r w:rsidRPr="00542DD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сукцесивно у року до 45 (четрдесетпет дана) дана од дана пријема исправног рачуна издатог на основу обострано потписаног Записника о извршеним услугама (без примедби), потписаног од стране овлашћених  представника Уговорних страна. </w:t>
            </w:r>
          </w:p>
        </w:tc>
        <w:tc>
          <w:tcPr>
            <w:tcW w:w="4252" w:type="dxa"/>
            <w:vAlign w:val="center"/>
          </w:tcPr>
          <w:p w:rsidR="00542DD9" w:rsidRPr="00542DD9" w:rsidRDefault="00542DD9" w:rsidP="00542DD9">
            <w:pPr>
              <w:tabs>
                <w:tab w:val="left" w:pos="567"/>
              </w:tabs>
              <w:suppressAutoHyphens w:val="0"/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542DD9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Сагласан за захтевом наручиоца</w:t>
            </w:r>
          </w:p>
          <w:p w:rsidR="00542DD9" w:rsidRPr="00542DD9" w:rsidRDefault="00542DD9" w:rsidP="00542DD9">
            <w:pPr>
              <w:tabs>
                <w:tab w:val="left" w:pos="567"/>
              </w:tabs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542DD9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ДА/НЕ (заокружити)</w:t>
            </w:r>
          </w:p>
        </w:tc>
      </w:tr>
      <w:tr w:rsidR="00542DD9" w:rsidRPr="00542DD9" w:rsidTr="00594BAB">
        <w:trPr>
          <w:gridAfter w:val="1"/>
          <w:wAfter w:w="65" w:type="dxa"/>
        </w:trPr>
        <w:tc>
          <w:tcPr>
            <w:tcW w:w="4928" w:type="dxa"/>
            <w:vAlign w:val="center"/>
          </w:tcPr>
          <w:p w:rsidR="00542DD9" w:rsidRPr="00542DD9" w:rsidRDefault="00542DD9" w:rsidP="00542DD9">
            <w:pPr>
              <w:suppressAutoHyphens w:val="0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542DD9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РОК ИСПОРУКЕ:</w:t>
            </w:r>
          </w:p>
          <w:p w:rsidR="00542DD9" w:rsidRPr="00542DD9" w:rsidRDefault="00542DD9" w:rsidP="00542DD9">
            <w:pPr>
              <w:suppressAutoHyphens w:val="0"/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542DD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Партија 2.: </w:t>
            </w:r>
          </w:p>
          <w:p w:rsidR="00542DD9" w:rsidRPr="00542DD9" w:rsidRDefault="00542DD9" w:rsidP="00542DD9">
            <w:pPr>
              <w:suppressAutoHyphens w:val="0"/>
              <w:ind w:left="36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42DD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Рок за испоруку резервних делова позиције 2.1-2.4  обрасца структуре цене (образац бр. 2А), не може бити дужи од 7 месеци од дана закључења Уговора. </w:t>
            </w:r>
          </w:p>
          <w:p w:rsidR="00542DD9" w:rsidRPr="00542DD9" w:rsidRDefault="00542DD9" w:rsidP="00542DD9">
            <w:pPr>
              <w:suppressAutoHyphens w:val="0"/>
              <w:ind w:left="36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542DD9" w:rsidRPr="00542DD9" w:rsidRDefault="00542DD9" w:rsidP="00542DD9">
            <w:pPr>
              <w:suppressAutoHyphens w:val="0"/>
              <w:ind w:left="36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542DD9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Рок извршења услуга,  позиције 1.1-1,2 обрасца структуре цене (образац бр. 2А), не може бити дужи од 15 дана од дана увођења у посао, а најкасније у року од 12 месеци од дана закључења уговора.</w:t>
            </w:r>
            <w:r w:rsidRPr="00542DD9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542DD9">
              <w:rPr>
                <w:rFonts w:ascii="Arial" w:hAnsi="Arial" w:cs="Arial"/>
                <w:sz w:val="22"/>
                <w:szCs w:val="22"/>
                <w:lang w:val="sr-Cyrl-RS" w:eastAsia="en-US"/>
              </w:rPr>
              <w:t>Наручилац ће писаним путем обавестити Изабраног Понуђача најмање 3 дана пре увођења у посао.</w:t>
            </w:r>
          </w:p>
        </w:tc>
        <w:tc>
          <w:tcPr>
            <w:tcW w:w="4252" w:type="dxa"/>
            <w:vAlign w:val="center"/>
          </w:tcPr>
          <w:p w:rsidR="00542DD9" w:rsidRPr="00542DD9" w:rsidRDefault="00542DD9" w:rsidP="00542DD9">
            <w:pPr>
              <w:suppressAutoHyphens w:val="0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542DD9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lastRenderedPageBreak/>
              <w:t>РОК ИСПОРУКЕ:</w:t>
            </w:r>
          </w:p>
          <w:p w:rsidR="00542DD9" w:rsidRPr="00542DD9" w:rsidRDefault="00542DD9" w:rsidP="00542DD9">
            <w:pPr>
              <w:suppressAutoHyphens w:val="0"/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542DD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Партија 2.: </w:t>
            </w:r>
          </w:p>
          <w:p w:rsidR="00542DD9" w:rsidRPr="00542DD9" w:rsidRDefault="00542DD9" w:rsidP="00542DD9">
            <w:pPr>
              <w:suppressAutoHyphens w:val="0"/>
              <w:ind w:left="36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42DD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Рок за испоруку резервних делова позиције 2.1-2.4  обрасца структуре цене (образац бр. 2А), је ....... дана од дана закључења Уговора. </w:t>
            </w:r>
          </w:p>
          <w:p w:rsidR="00542DD9" w:rsidRPr="00542DD9" w:rsidRDefault="00542DD9" w:rsidP="00542DD9">
            <w:pPr>
              <w:suppressAutoHyphens w:val="0"/>
              <w:ind w:left="36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542DD9" w:rsidRPr="00542DD9" w:rsidRDefault="00542DD9" w:rsidP="00542DD9">
            <w:pPr>
              <w:suppressAutoHyphens w:val="0"/>
              <w:ind w:left="36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542DD9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Рок извршења услуга,  позиције 1.1-1,2 обрасца структуре цене (образац бр. 2А), је.........дана од дана увођења у посао, а најкасније у року од 12 месеци од дана закључења уговора.</w:t>
            </w:r>
            <w:r w:rsidRPr="00542DD9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542DD9">
              <w:rPr>
                <w:rFonts w:ascii="Arial" w:hAnsi="Arial" w:cs="Arial"/>
                <w:sz w:val="22"/>
                <w:szCs w:val="22"/>
                <w:lang w:val="sr-Cyrl-RS" w:eastAsia="en-US"/>
              </w:rPr>
              <w:t>Наручилац ће писаним путем обавестити Изабраног Понуђача најмање 3 дана пре увођења у посао.</w:t>
            </w:r>
          </w:p>
          <w:p w:rsidR="00542DD9" w:rsidRPr="00542DD9" w:rsidRDefault="00542DD9" w:rsidP="00542DD9">
            <w:pPr>
              <w:suppressAutoHyphens w:val="0"/>
              <w:ind w:left="36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542DD9" w:rsidRPr="00542DD9" w:rsidTr="00594BAB">
        <w:trPr>
          <w:gridAfter w:val="1"/>
          <w:wAfter w:w="65" w:type="dxa"/>
        </w:trPr>
        <w:tc>
          <w:tcPr>
            <w:tcW w:w="4928" w:type="dxa"/>
            <w:vAlign w:val="center"/>
          </w:tcPr>
          <w:p w:rsidR="00542DD9" w:rsidRPr="00542DD9" w:rsidRDefault="00542DD9" w:rsidP="00542DD9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542DD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lastRenderedPageBreak/>
              <w:t>ГАРАНТНИ РОК:</w:t>
            </w:r>
          </w:p>
          <w:p w:rsidR="00542DD9" w:rsidRPr="00542DD9" w:rsidRDefault="00542DD9" w:rsidP="00542DD9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542DD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Партија 2.: </w:t>
            </w:r>
          </w:p>
          <w:p w:rsidR="00542DD9" w:rsidRPr="00542DD9" w:rsidRDefault="00542DD9" w:rsidP="00542DD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r w:rsidRPr="00542DD9">
              <w:rPr>
                <w:rFonts w:ascii="Arial" w:hAnsi="Arial" w:cs="Arial"/>
                <w:sz w:val="22"/>
                <w:szCs w:val="22"/>
                <w:lang w:val="en-US" w:eastAsia="zh-CN"/>
              </w:rPr>
              <w:t>Гарантни рок за предмет набавке је</w:t>
            </w:r>
            <w:r w:rsidRPr="00542DD9">
              <w:rPr>
                <w:rFonts w:ascii="Arial" w:hAnsi="Arial" w:cs="Arial"/>
                <w:sz w:val="22"/>
                <w:szCs w:val="22"/>
                <w:lang w:val="sr-Cyrl-RS" w:eastAsia="zh-CN"/>
              </w:rPr>
              <w:t>:</w:t>
            </w:r>
          </w:p>
          <w:p w:rsidR="00542DD9" w:rsidRPr="00542DD9" w:rsidRDefault="00542DD9" w:rsidP="00542DD9">
            <w:pPr>
              <w:numPr>
                <w:ilvl w:val="0"/>
                <w:numId w:val="25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Calibri" w:eastAsia="Calibri" w:hAnsi="Calibri" w:cs="Arial"/>
                <w:sz w:val="22"/>
                <w:szCs w:val="22"/>
                <w:lang w:val="sr-Cyrl-RS" w:eastAsia="zh-CN"/>
              </w:rPr>
            </w:pPr>
            <w:r w:rsidRPr="00542DD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 услугу позица 1.1-1.2 Обрасца структуре цене, минимум 12 месеци од успешно извршеног</w:t>
            </w:r>
            <w:r w:rsidRPr="00542DD9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542DD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пробног погона.</w:t>
            </w:r>
          </w:p>
          <w:p w:rsidR="00542DD9" w:rsidRPr="00542DD9" w:rsidRDefault="00542DD9" w:rsidP="00542DD9">
            <w:pPr>
              <w:numPr>
                <w:ilvl w:val="0"/>
                <w:numId w:val="25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42DD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 добра  позиција 2.1-2.4  Обрасца структуре минимум 12 месеци од извршеног квалитативног пријема  добара.</w:t>
            </w:r>
          </w:p>
          <w:p w:rsidR="00542DD9" w:rsidRPr="00542DD9" w:rsidRDefault="00542DD9" w:rsidP="00542DD9">
            <w:pPr>
              <w:suppressAutoHyphens w:val="0"/>
              <w:spacing w:before="120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542DD9" w:rsidRPr="00542DD9" w:rsidRDefault="00542DD9" w:rsidP="00542DD9">
            <w:pPr>
              <w:suppressAutoHyphens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42DD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Ако се уоче сметње у функционисању или квар на турбоагрегату током гарантног периода, за које се утврди да је узрок неквалитетно извођење послова од стране </w:t>
            </w:r>
            <w:r w:rsidRPr="00542DD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Изабраног Понуђача</w:t>
            </w:r>
            <w:r w:rsidRPr="00542DD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, </w:t>
            </w:r>
            <w:r w:rsidRPr="00542DD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Изабрани Понуђач</w:t>
            </w:r>
            <w:r w:rsidRPr="00542DD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се обавезује да отклањање квара или сметњи у функционисању обави о свом трошку у најкраћем могућем року.</w:t>
            </w:r>
          </w:p>
          <w:p w:rsidR="00542DD9" w:rsidRPr="00542DD9" w:rsidRDefault="00542DD9" w:rsidP="00542DD9">
            <w:pPr>
              <w:suppressAutoHyphens w:val="0"/>
              <w:spacing w:before="120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542DD9" w:rsidRPr="00542DD9" w:rsidRDefault="00542DD9" w:rsidP="00542DD9">
            <w:pPr>
              <w:suppressAutoHyphens w:val="0"/>
              <w:rPr>
                <w:rFonts w:ascii="Arial" w:hAnsi="Arial" w:cs="Arial"/>
                <w:bCs/>
                <w:iCs/>
                <w:sz w:val="20"/>
                <w:lang w:val="sr-Latn-RS" w:eastAsia="en-US"/>
              </w:rPr>
            </w:pPr>
          </w:p>
        </w:tc>
        <w:tc>
          <w:tcPr>
            <w:tcW w:w="4252" w:type="dxa"/>
            <w:vAlign w:val="center"/>
          </w:tcPr>
          <w:p w:rsidR="00542DD9" w:rsidRPr="00542DD9" w:rsidRDefault="00542DD9" w:rsidP="00542DD9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iCs/>
                <w:sz w:val="20"/>
                <w:lang w:eastAsia="en-US"/>
              </w:rPr>
            </w:pPr>
            <w:r w:rsidRPr="00542DD9">
              <w:rPr>
                <w:rFonts w:ascii="Arial" w:eastAsia="TimesNewRomanPSMT" w:hAnsi="Arial" w:cs="Arial"/>
                <w:b/>
                <w:bCs/>
                <w:iCs/>
                <w:sz w:val="20"/>
                <w:lang w:eastAsia="en-US"/>
              </w:rPr>
              <w:t>ГАРАНТНИ РОК:</w:t>
            </w:r>
          </w:p>
          <w:p w:rsidR="00542DD9" w:rsidRPr="00542DD9" w:rsidRDefault="00542DD9" w:rsidP="00542DD9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542DD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Партија 2.: </w:t>
            </w:r>
          </w:p>
          <w:p w:rsidR="00542DD9" w:rsidRPr="00542DD9" w:rsidRDefault="00542DD9" w:rsidP="00542DD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r w:rsidRPr="00542DD9">
              <w:rPr>
                <w:rFonts w:ascii="Arial" w:hAnsi="Arial" w:cs="Arial"/>
                <w:sz w:val="22"/>
                <w:szCs w:val="22"/>
                <w:lang w:val="en-US" w:eastAsia="zh-CN"/>
              </w:rPr>
              <w:t>Гарантни рок за предмет набавке је</w:t>
            </w:r>
            <w:r w:rsidRPr="00542DD9">
              <w:rPr>
                <w:rFonts w:ascii="Arial" w:hAnsi="Arial" w:cs="Arial"/>
                <w:sz w:val="22"/>
                <w:szCs w:val="22"/>
                <w:lang w:val="sr-Cyrl-RS" w:eastAsia="zh-CN"/>
              </w:rPr>
              <w:t>:</w:t>
            </w:r>
          </w:p>
          <w:p w:rsidR="00542DD9" w:rsidRPr="00542DD9" w:rsidRDefault="00542DD9" w:rsidP="00542DD9">
            <w:pPr>
              <w:numPr>
                <w:ilvl w:val="0"/>
                <w:numId w:val="25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Calibri" w:eastAsia="Calibri" w:hAnsi="Calibri" w:cs="Arial"/>
                <w:sz w:val="22"/>
                <w:szCs w:val="22"/>
                <w:lang w:val="sr-Cyrl-RS" w:eastAsia="zh-CN"/>
              </w:rPr>
            </w:pPr>
            <w:r w:rsidRPr="00542DD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 услугу позица 1.1-1.2 Обрасца структуре цене, .............. месеци од успешно извршеног</w:t>
            </w:r>
            <w:r w:rsidRPr="00542DD9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542DD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пробног погона.</w:t>
            </w:r>
          </w:p>
          <w:p w:rsidR="00542DD9" w:rsidRPr="00542DD9" w:rsidRDefault="00542DD9" w:rsidP="00542DD9">
            <w:pPr>
              <w:numPr>
                <w:ilvl w:val="0"/>
                <w:numId w:val="25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42DD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 добра  позиција 2.1-2.4  Обрасца структуре ............ месеци од извршеног квалитативног пријема  добара.</w:t>
            </w:r>
          </w:p>
          <w:p w:rsidR="00542DD9" w:rsidRPr="00542DD9" w:rsidRDefault="00542DD9" w:rsidP="00542DD9">
            <w:pPr>
              <w:suppressAutoHyphens w:val="0"/>
              <w:spacing w:before="120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542DD9" w:rsidRPr="00542DD9" w:rsidRDefault="00542DD9" w:rsidP="00542DD9">
            <w:pPr>
              <w:suppressAutoHyphens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42DD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Ако се уоче сметње у функционисању или квар на турбоагрегату током гарантног периода, за које се утврди да је узрок неквалитетно извођење послова од стране </w:t>
            </w:r>
            <w:r w:rsidRPr="00542DD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Изабраног понуђача</w:t>
            </w:r>
            <w:r w:rsidRPr="00542DD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, </w:t>
            </w:r>
            <w:r w:rsidRPr="00542DD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Изабрани понуђач</w:t>
            </w:r>
            <w:r w:rsidRPr="00542DD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се обавезује да отклањање квара или сметњи у функционисању обави о свом трошку у најкраћем могућем року.</w:t>
            </w:r>
          </w:p>
          <w:p w:rsidR="00542DD9" w:rsidRPr="00542DD9" w:rsidRDefault="00542DD9" w:rsidP="00542DD9">
            <w:pPr>
              <w:suppressAutoHyphens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542DD9" w:rsidRPr="00542DD9" w:rsidTr="00594BAB">
        <w:trPr>
          <w:gridAfter w:val="1"/>
          <w:wAfter w:w="65" w:type="dxa"/>
        </w:trPr>
        <w:tc>
          <w:tcPr>
            <w:tcW w:w="4928" w:type="dxa"/>
            <w:vAlign w:val="center"/>
          </w:tcPr>
          <w:p w:rsidR="00542DD9" w:rsidRPr="00542DD9" w:rsidRDefault="00542DD9" w:rsidP="00542DD9">
            <w:pPr>
              <w:suppressAutoHyphens w:val="0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542DD9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 xml:space="preserve">ПАРИТЕТ: </w:t>
            </w:r>
          </w:p>
          <w:p w:rsidR="00542DD9" w:rsidRPr="00542DD9" w:rsidRDefault="00542DD9" w:rsidP="00542DD9">
            <w:pPr>
              <w:suppressAutoHyphens w:val="0"/>
              <w:rPr>
                <w:rFonts w:ascii="Arial" w:hAnsi="Arial" w:cs="Arial"/>
                <w:sz w:val="20"/>
                <w:lang w:eastAsia="zh-CN"/>
              </w:rPr>
            </w:pPr>
            <w:r w:rsidRPr="00542DD9">
              <w:rPr>
                <w:rFonts w:ascii="Arial" w:hAnsi="Arial" w:cs="Arial"/>
                <w:sz w:val="20"/>
                <w:lang w:eastAsia="zh-CN"/>
              </w:rPr>
              <w:t xml:space="preserve">Понуда се даје на паритету ф-ко (магацин) ТЕ КОЛУБАРА </w:t>
            </w:r>
          </w:p>
          <w:p w:rsidR="00542DD9" w:rsidRPr="00542DD9" w:rsidRDefault="00542DD9" w:rsidP="00542DD9">
            <w:pPr>
              <w:suppressAutoHyphens w:val="0"/>
              <w:rPr>
                <w:rFonts w:ascii="Arial" w:hAnsi="Arial" w:cs="Arial"/>
                <w:sz w:val="20"/>
                <w:lang w:eastAsia="zh-CN"/>
              </w:rPr>
            </w:pPr>
            <w:r w:rsidRPr="00542DD9">
              <w:rPr>
                <w:rFonts w:ascii="Arial" w:hAnsi="Arial" w:cs="Arial"/>
                <w:sz w:val="20"/>
                <w:lang w:eastAsia="zh-CN"/>
              </w:rPr>
              <w:t xml:space="preserve">  .</w:t>
            </w:r>
          </w:p>
        </w:tc>
        <w:tc>
          <w:tcPr>
            <w:tcW w:w="4252" w:type="dxa"/>
            <w:vAlign w:val="center"/>
          </w:tcPr>
          <w:p w:rsidR="00542DD9" w:rsidRPr="00542DD9" w:rsidRDefault="00542DD9" w:rsidP="00542DD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542DD9">
              <w:rPr>
                <w:rFonts w:ascii="Arial" w:hAnsi="Arial" w:cs="Arial"/>
                <w:bCs/>
                <w:iCs/>
                <w:sz w:val="20"/>
                <w:lang w:eastAsia="en-US"/>
              </w:rPr>
              <w:t xml:space="preserve">Сагласан </w:t>
            </w:r>
            <w:r w:rsidRPr="00542DD9">
              <w:rPr>
                <w:rFonts w:ascii="Arial" w:hAnsi="Arial" w:cs="Arial"/>
                <w:bCs/>
                <w:iCs/>
                <w:sz w:val="20"/>
                <w:lang w:val="en-US" w:eastAsia="en-US"/>
              </w:rPr>
              <w:t>с</w:t>
            </w:r>
            <w:r w:rsidRPr="00542DD9">
              <w:rPr>
                <w:rFonts w:ascii="Arial" w:hAnsi="Arial" w:cs="Arial"/>
                <w:bCs/>
                <w:iCs/>
                <w:sz w:val="20"/>
                <w:lang w:eastAsia="en-US"/>
              </w:rPr>
              <w:t>а захтевом наручиоца</w:t>
            </w:r>
          </w:p>
          <w:p w:rsidR="00542DD9" w:rsidRPr="00542DD9" w:rsidRDefault="00542DD9" w:rsidP="00542DD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542DD9">
              <w:rPr>
                <w:rFonts w:ascii="Arial" w:hAnsi="Arial" w:cs="Arial"/>
                <w:bCs/>
                <w:iCs/>
                <w:sz w:val="20"/>
                <w:lang w:eastAsia="en-US"/>
              </w:rPr>
              <w:t>ДА/НЕ (заокружити)</w:t>
            </w:r>
          </w:p>
        </w:tc>
      </w:tr>
      <w:tr w:rsidR="00542DD9" w:rsidRPr="00542DD9" w:rsidTr="00594BAB">
        <w:trPr>
          <w:gridAfter w:val="1"/>
          <w:wAfter w:w="65" w:type="dxa"/>
          <w:trHeight w:val="818"/>
        </w:trPr>
        <w:tc>
          <w:tcPr>
            <w:tcW w:w="4928" w:type="dxa"/>
            <w:vAlign w:val="center"/>
          </w:tcPr>
          <w:p w:rsidR="00542DD9" w:rsidRPr="00542DD9" w:rsidRDefault="00542DD9" w:rsidP="00542DD9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542DD9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 xml:space="preserve"> </w:t>
            </w:r>
          </w:p>
          <w:p w:rsidR="00542DD9" w:rsidRPr="00542DD9" w:rsidRDefault="00542DD9" w:rsidP="00542DD9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542DD9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МЕСТО ИСПОРУКЕ:</w:t>
            </w:r>
          </w:p>
          <w:p w:rsidR="00542DD9" w:rsidRPr="00542DD9" w:rsidRDefault="00542DD9" w:rsidP="00542DD9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542DD9">
              <w:rPr>
                <w:rFonts w:ascii="Arial" w:hAnsi="Arial" w:cs="Arial"/>
                <w:bCs/>
                <w:iCs/>
                <w:sz w:val="20"/>
                <w:lang w:eastAsia="en-US"/>
              </w:rPr>
              <w:t xml:space="preserve"> Место испоруке је складиште  ЈП ЕПС, Огранак ТЕ Колубара, локација ТЕ Колубара.</w:t>
            </w:r>
          </w:p>
          <w:p w:rsidR="00542DD9" w:rsidRPr="00542DD9" w:rsidRDefault="00542DD9" w:rsidP="00542DD9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542DD9">
              <w:rPr>
                <w:rFonts w:ascii="Arial" w:hAnsi="Arial" w:cs="Arial"/>
                <w:bCs/>
                <w:iCs/>
                <w:sz w:val="20"/>
                <w:lang w:eastAsia="en-US"/>
              </w:rPr>
              <w:t>Место извршења услуге је градилиште ТЕ Колубара.</w:t>
            </w:r>
            <w:r w:rsidRPr="00542DD9">
              <w:rPr>
                <w:rFonts w:ascii="Arial" w:hAnsi="Arial" w:cs="Arial"/>
                <w:sz w:val="20"/>
                <w:lang w:eastAsia="zh-CN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542DD9" w:rsidRPr="00542DD9" w:rsidRDefault="00542DD9" w:rsidP="00542DD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542DD9">
              <w:rPr>
                <w:rFonts w:ascii="Arial" w:hAnsi="Arial" w:cs="Arial"/>
                <w:bCs/>
                <w:iCs/>
                <w:sz w:val="20"/>
                <w:lang w:eastAsia="en-US"/>
              </w:rPr>
              <w:t xml:space="preserve">Сагласан </w:t>
            </w:r>
            <w:r w:rsidRPr="00542DD9">
              <w:rPr>
                <w:rFonts w:ascii="Arial" w:hAnsi="Arial" w:cs="Arial"/>
                <w:bCs/>
                <w:iCs/>
                <w:sz w:val="20"/>
                <w:lang w:val="en-US" w:eastAsia="en-US"/>
              </w:rPr>
              <w:t>с</w:t>
            </w:r>
            <w:r w:rsidRPr="00542DD9">
              <w:rPr>
                <w:rFonts w:ascii="Arial" w:hAnsi="Arial" w:cs="Arial"/>
                <w:bCs/>
                <w:iCs/>
                <w:sz w:val="20"/>
                <w:lang w:eastAsia="en-US"/>
              </w:rPr>
              <w:t>а захтевом наручиоца</w:t>
            </w:r>
          </w:p>
          <w:p w:rsidR="00542DD9" w:rsidRPr="00542DD9" w:rsidRDefault="00542DD9" w:rsidP="00542DD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 w:rsidRPr="00542DD9">
              <w:rPr>
                <w:rFonts w:ascii="Arial" w:hAnsi="Arial" w:cs="Arial"/>
                <w:bCs/>
                <w:iCs/>
                <w:sz w:val="20"/>
                <w:lang w:eastAsia="en-US"/>
              </w:rPr>
              <w:t>ДА/НЕ (заокружити)</w:t>
            </w:r>
          </w:p>
        </w:tc>
      </w:tr>
      <w:tr w:rsidR="00542DD9" w:rsidRPr="00542DD9" w:rsidTr="00594BAB">
        <w:trPr>
          <w:gridAfter w:val="1"/>
          <w:wAfter w:w="65" w:type="dxa"/>
          <w:trHeight w:val="800"/>
        </w:trPr>
        <w:tc>
          <w:tcPr>
            <w:tcW w:w="4928" w:type="dxa"/>
            <w:vAlign w:val="center"/>
          </w:tcPr>
          <w:p w:rsidR="00542DD9" w:rsidRPr="00542DD9" w:rsidRDefault="00542DD9" w:rsidP="00542DD9">
            <w:pPr>
              <w:suppressAutoHyphens w:val="0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</w:p>
          <w:p w:rsidR="00542DD9" w:rsidRPr="00542DD9" w:rsidRDefault="00542DD9" w:rsidP="00542DD9">
            <w:pPr>
              <w:suppressAutoHyphens w:val="0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542DD9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РОК ВАЖЕЊА ПОНУДЕ:</w:t>
            </w:r>
          </w:p>
          <w:p w:rsidR="00542DD9" w:rsidRPr="00542DD9" w:rsidRDefault="00542DD9" w:rsidP="00542DD9">
            <w:pPr>
              <w:suppressAutoHyphens w:val="0"/>
              <w:rPr>
                <w:rFonts w:ascii="Arial" w:hAnsi="Arial" w:cs="Arial"/>
                <w:bCs/>
                <w:iCs/>
                <w:sz w:val="20"/>
                <w:lang w:val="sr-Latn-RS" w:eastAsia="en-US"/>
              </w:rPr>
            </w:pPr>
            <w:r w:rsidRPr="00542DD9">
              <w:rPr>
                <w:rFonts w:ascii="Arial" w:hAnsi="Arial" w:cs="Arial"/>
                <w:bCs/>
                <w:iCs/>
                <w:sz w:val="20"/>
                <w:lang w:eastAsia="en-US"/>
              </w:rPr>
              <w:t>не може бити краћ</w:t>
            </w:r>
            <w:r w:rsidRPr="00542DD9">
              <w:rPr>
                <w:rFonts w:ascii="Arial" w:hAnsi="Arial" w:cs="Arial"/>
                <w:bCs/>
                <w:iCs/>
                <w:sz w:val="20"/>
                <w:lang w:val="en-US" w:eastAsia="en-US"/>
              </w:rPr>
              <w:t>и</w:t>
            </w:r>
            <w:r w:rsidRPr="00542DD9">
              <w:rPr>
                <w:rFonts w:ascii="Arial" w:hAnsi="Arial" w:cs="Arial"/>
                <w:bCs/>
                <w:iCs/>
                <w:sz w:val="20"/>
                <w:lang w:eastAsia="en-US"/>
              </w:rPr>
              <w:t xml:space="preserve"> од </w:t>
            </w:r>
            <w:r w:rsidRPr="00542DD9">
              <w:rPr>
                <w:rFonts w:ascii="Arial" w:hAnsi="Arial" w:cs="Arial"/>
                <w:bCs/>
                <w:iCs/>
                <w:sz w:val="20"/>
                <w:lang w:val="sr-Latn-RS" w:eastAsia="en-US"/>
              </w:rPr>
              <w:t>6</w:t>
            </w:r>
            <w:r w:rsidRPr="00542DD9">
              <w:rPr>
                <w:rFonts w:ascii="Arial" w:hAnsi="Arial" w:cs="Arial"/>
                <w:bCs/>
                <w:iCs/>
                <w:sz w:val="20"/>
                <w:lang w:eastAsia="en-US"/>
              </w:rPr>
              <w:t>0 дана од дана отварања понуда</w:t>
            </w:r>
          </w:p>
          <w:p w:rsidR="00542DD9" w:rsidRPr="00542DD9" w:rsidRDefault="00542DD9" w:rsidP="00542DD9">
            <w:pPr>
              <w:suppressAutoHyphens w:val="0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</w:p>
        </w:tc>
        <w:tc>
          <w:tcPr>
            <w:tcW w:w="4252" w:type="dxa"/>
            <w:vAlign w:val="center"/>
          </w:tcPr>
          <w:p w:rsidR="00542DD9" w:rsidRPr="00542DD9" w:rsidRDefault="00542DD9" w:rsidP="00542DD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</w:p>
          <w:p w:rsidR="00542DD9" w:rsidRPr="00542DD9" w:rsidRDefault="00542DD9" w:rsidP="00542DD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542DD9">
              <w:rPr>
                <w:rFonts w:ascii="Arial" w:hAnsi="Arial" w:cs="Arial"/>
                <w:bCs/>
                <w:iCs/>
                <w:sz w:val="20"/>
                <w:lang w:eastAsia="en-US"/>
              </w:rPr>
              <w:t>_____ дана од дана отварања понуда</w:t>
            </w:r>
          </w:p>
        </w:tc>
      </w:tr>
      <w:tr w:rsidR="00542DD9" w:rsidRPr="00542DD9" w:rsidTr="00594BAB">
        <w:trPr>
          <w:gridAfter w:val="1"/>
          <w:wAfter w:w="65" w:type="dxa"/>
        </w:trPr>
        <w:tc>
          <w:tcPr>
            <w:tcW w:w="9180" w:type="dxa"/>
            <w:gridSpan w:val="2"/>
          </w:tcPr>
          <w:p w:rsidR="00542DD9" w:rsidRPr="00542DD9" w:rsidRDefault="00542DD9" w:rsidP="00542DD9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0"/>
                <w:lang w:val="sr-Latn-RS" w:eastAsia="en-US"/>
              </w:rPr>
            </w:pPr>
          </w:p>
          <w:p w:rsidR="00542DD9" w:rsidRPr="00542DD9" w:rsidRDefault="00542DD9" w:rsidP="00542DD9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0"/>
                <w:lang w:val="sr-Latn-RS" w:eastAsia="en-US"/>
              </w:rPr>
            </w:pPr>
            <w:r w:rsidRPr="00542DD9">
              <w:rPr>
                <w:rFonts w:ascii="Arial" w:hAnsi="Arial" w:cs="Arial"/>
                <w:bCs/>
                <w:iCs/>
                <w:sz w:val="20"/>
                <w:lang w:eastAsia="en-U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  <w:p w:rsidR="00542DD9" w:rsidRPr="00542DD9" w:rsidRDefault="00542DD9" w:rsidP="00542DD9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0"/>
                <w:lang w:val="sr-Latn-RS" w:eastAsia="en-US"/>
              </w:rPr>
            </w:pPr>
          </w:p>
        </w:tc>
      </w:tr>
    </w:tbl>
    <w:p w:rsidR="00542DD9" w:rsidRPr="00542DD9" w:rsidRDefault="00542DD9" w:rsidP="00542DD9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542DD9" w:rsidRPr="00542DD9" w:rsidRDefault="00542DD9" w:rsidP="00542DD9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eastAsia="en-US"/>
        </w:rPr>
      </w:pPr>
      <w:r w:rsidRPr="00542DD9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Датум </w:t>
      </w:r>
      <w:r w:rsidRPr="00542DD9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542DD9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542DD9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542DD9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  <w:t xml:space="preserve">                                   Понуђач</w:t>
      </w:r>
    </w:p>
    <w:p w:rsidR="00542DD9" w:rsidRPr="00542DD9" w:rsidRDefault="00542DD9" w:rsidP="00542DD9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  <w:r w:rsidRPr="00542DD9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>________________________</w:t>
      </w:r>
      <w:r w:rsidRPr="00542DD9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        М.П.</w:t>
      </w:r>
      <w:r w:rsidRPr="00542DD9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ab/>
      </w:r>
      <w:r w:rsidRPr="00542DD9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_____________________                                      </w:t>
      </w:r>
    </w:p>
    <w:p w:rsidR="00542DD9" w:rsidRPr="00542DD9" w:rsidRDefault="00542DD9" w:rsidP="00542DD9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</w:pPr>
    </w:p>
    <w:p w:rsidR="00542DD9" w:rsidRPr="00542DD9" w:rsidRDefault="00542DD9" w:rsidP="00542DD9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</w:pPr>
      <w:r w:rsidRPr="00542DD9"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  <w:t>Напомене:</w:t>
      </w:r>
    </w:p>
    <w:p w:rsidR="00542DD9" w:rsidRPr="00542DD9" w:rsidRDefault="00542DD9" w:rsidP="00542DD9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  <w:r w:rsidRPr="00542DD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-  Понуђач је обавезан да у обрасцу понуде попуни све комерцијалне услове (сва празна поља).</w:t>
      </w:r>
    </w:p>
    <w:p w:rsidR="00AE2519" w:rsidRPr="00AE2519" w:rsidRDefault="00542DD9" w:rsidP="00542DD9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  <w:r w:rsidRPr="00542DD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- </w:t>
      </w:r>
      <w:r w:rsidRPr="00542DD9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Уколико понуђачи подносе заједничку понуду,група понуђача може да о</w:t>
      </w:r>
      <w:r w:rsidRPr="00542DD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власти</w:t>
      </w:r>
      <w:r w:rsidRPr="00542DD9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sectPr w:rsidR="00AE2519" w:rsidRPr="00AE2519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EA" w:rsidRDefault="00FF7EEA" w:rsidP="00F717AF">
      <w:r>
        <w:separator/>
      </w:r>
    </w:p>
  </w:endnote>
  <w:endnote w:type="continuationSeparator" w:id="0">
    <w:p w:rsidR="00FF7EEA" w:rsidRDefault="00FF7EE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charset w:val="00"/>
    <w:family w:val="swiss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4B512A" w:rsidRDefault="004B512A" w:rsidP="005403F3">
    <w:pPr>
      <w:pStyle w:val="Footer"/>
      <w:tabs>
        <w:tab w:val="left" w:pos="3431"/>
        <w:tab w:val="right" w:pos="9074"/>
      </w:tabs>
      <w:jc w:val="center"/>
      <w:rPr>
        <w:i/>
        <w:color w:val="4F81BD"/>
        <w:sz w:val="20"/>
        <w:lang w:val="sr-Cyrl-RS"/>
      </w:rPr>
    </w:pP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9E45ED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9E45ED">
      <w:rPr>
        <w:i/>
        <w:noProof/>
      </w:rPr>
      <w:t>5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EA" w:rsidRDefault="00FF7EEA" w:rsidP="00F717AF">
      <w:r>
        <w:separator/>
      </w:r>
    </w:p>
  </w:footnote>
  <w:footnote w:type="continuationSeparator" w:id="0">
    <w:p w:rsidR="00FF7EEA" w:rsidRDefault="00FF7EE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C01985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E45ED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E45ED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A06B4"/>
    <w:multiLevelType w:val="hybridMultilevel"/>
    <w:tmpl w:val="AC00EC9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5E5EB6"/>
    <w:multiLevelType w:val="hybridMultilevel"/>
    <w:tmpl w:val="85AC816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27843"/>
    <w:multiLevelType w:val="multilevel"/>
    <w:tmpl w:val="E6B0903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6A701F0"/>
    <w:multiLevelType w:val="hybridMultilevel"/>
    <w:tmpl w:val="35FA15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023DA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F0E5A"/>
    <w:multiLevelType w:val="multilevel"/>
    <w:tmpl w:val="959E3A3C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9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1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373D37"/>
    <w:multiLevelType w:val="hybridMultilevel"/>
    <w:tmpl w:val="A530A8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35798"/>
    <w:multiLevelType w:val="hybridMultilevel"/>
    <w:tmpl w:val="28BCF8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32E0D"/>
    <w:multiLevelType w:val="hybridMultilevel"/>
    <w:tmpl w:val="4D0E6938"/>
    <w:lvl w:ilvl="0" w:tplc="24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6">
    <w:nsid w:val="74855F5A"/>
    <w:multiLevelType w:val="hybridMultilevel"/>
    <w:tmpl w:val="AECAFF2A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11"/>
  </w:num>
  <w:num w:numId="7">
    <w:abstractNumId w:val="24"/>
  </w:num>
  <w:num w:numId="8">
    <w:abstractNumId w:val="13"/>
  </w:num>
  <w:num w:numId="9">
    <w:abstractNumId w:val="23"/>
  </w:num>
  <w:num w:numId="10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6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1"/>
  </w:num>
  <w:num w:numId="15">
    <w:abstractNumId w:val="22"/>
  </w:num>
  <w:num w:numId="16">
    <w:abstractNumId w:val="4"/>
  </w:num>
  <w:num w:numId="17">
    <w:abstractNumId w:val="3"/>
  </w:num>
  <w:num w:numId="18">
    <w:abstractNumId w:val="12"/>
  </w:num>
  <w:num w:numId="19">
    <w:abstractNumId w:val="9"/>
  </w:num>
  <w:num w:numId="20">
    <w:abstractNumId w:val="26"/>
  </w:num>
  <w:num w:numId="21">
    <w:abstractNumId w:val="5"/>
  </w:num>
  <w:num w:numId="22">
    <w:abstractNumId w:val="27"/>
  </w:num>
  <w:num w:numId="23">
    <w:abstractNumId w:val="15"/>
  </w:num>
  <w:num w:numId="24">
    <w:abstractNumId w:val="20"/>
  </w:num>
  <w:num w:numId="2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5580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1F4374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139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5664D"/>
    <w:rsid w:val="00360125"/>
    <w:rsid w:val="00360475"/>
    <w:rsid w:val="00362593"/>
    <w:rsid w:val="00371217"/>
    <w:rsid w:val="00372944"/>
    <w:rsid w:val="003761A7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2425"/>
    <w:rsid w:val="003A7895"/>
    <w:rsid w:val="003B24D0"/>
    <w:rsid w:val="003B5DA9"/>
    <w:rsid w:val="003B6BD7"/>
    <w:rsid w:val="003C6BB6"/>
    <w:rsid w:val="003D4873"/>
    <w:rsid w:val="003F72B8"/>
    <w:rsid w:val="00400FE4"/>
    <w:rsid w:val="004018D4"/>
    <w:rsid w:val="0040457A"/>
    <w:rsid w:val="004073D9"/>
    <w:rsid w:val="00426593"/>
    <w:rsid w:val="004330FE"/>
    <w:rsid w:val="00433149"/>
    <w:rsid w:val="004333EB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9D6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512A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2DD9"/>
    <w:rsid w:val="005502A5"/>
    <w:rsid w:val="00552782"/>
    <w:rsid w:val="00553B28"/>
    <w:rsid w:val="00555ED9"/>
    <w:rsid w:val="00557CB8"/>
    <w:rsid w:val="00560053"/>
    <w:rsid w:val="0056053B"/>
    <w:rsid w:val="00561D5A"/>
    <w:rsid w:val="005634FF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625"/>
    <w:rsid w:val="00623E54"/>
    <w:rsid w:val="00625C87"/>
    <w:rsid w:val="00630D2C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2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5B6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3837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7845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45ED"/>
    <w:rsid w:val="009E6671"/>
    <w:rsid w:val="009E669A"/>
    <w:rsid w:val="009F1715"/>
    <w:rsid w:val="009F5F6D"/>
    <w:rsid w:val="00A01116"/>
    <w:rsid w:val="00A0384D"/>
    <w:rsid w:val="00A055A6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7D8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E2519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4C0B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198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50B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B5DA9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5C8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3095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1F4374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1F4374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1F4374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1F4374"/>
    <w:rPr>
      <w:rFonts w:ascii="Arial" w:eastAsia="Times New Roman" w:hAnsi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1F4374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1F4374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1F4374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1F4374"/>
    <w:rPr>
      <w:rFonts w:ascii="Arial" w:eastAsia="Times New Roman" w:hAnsi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Vesna Stojanovic</cp:lastModifiedBy>
  <cp:revision>23</cp:revision>
  <cp:lastPrinted>2014-12-19T09:46:00Z</cp:lastPrinted>
  <dcterms:created xsi:type="dcterms:W3CDTF">2018-01-04T12:37:00Z</dcterms:created>
  <dcterms:modified xsi:type="dcterms:W3CDTF">2018-01-19T08:33:00Z</dcterms:modified>
</cp:coreProperties>
</file>