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8" o:title=""/>
                </v:shape>
                <o:OLEObject Type="Embed" ProgID="Word.Picture.8" ShapeID="_x0000_i1025" DrawAspect="Content" ObjectID="_1440492442" r:id="rId9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Latn-C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1693/2013 –</w:t>
      </w:r>
      <w:r w:rsidRPr="00F67C9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RS"/>
        </w:rPr>
        <w:t>Центрифугална пумпа са електромотором за грејање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измен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16</w:t>
      </w:r>
      <w:r>
        <w:rPr>
          <w:rFonts w:ascii="Arial" w:hAnsi="Arial" w:cs="Arial"/>
          <w:lang w:val="sr-Cyrl-RS"/>
        </w:rPr>
        <w:t>93</w:t>
      </w:r>
      <w:r>
        <w:rPr>
          <w:rFonts w:ascii="Arial" w:hAnsi="Arial" w:cs="Arial"/>
          <w:lang w:val="sr-Cyrl-CS"/>
        </w:rPr>
        <w:t xml:space="preserve">/2013: </w:t>
      </w:r>
    </w:p>
    <w:p w:rsidR="00101829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="00101829">
        <w:rPr>
          <w:rFonts w:ascii="Arial" w:hAnsi="Arial" w:cs="Arial"/>
          <w:lang w:val="sr-Cyrl-CS"/>
        </w:rPr>
        <w:t>Измењен</w:t>
      </w:r>
      <w:r w:rsidR="00682740">
        <w:rPr>
          <w:rFonts w:ascii="Arial" w:hAnsi="Arial" w:cs="Arial"/>
          <w:lang w:val="sr-Cyrl-CS"/>
        </w:rPr>
        <w:t>о</w:t>
      </w:r>
      <w:r w:rsidR="00101829">
        <w:rPr>
          <w:rFonts w:ascii="Arial" w:hAnsi="Arial" w:cs="Arial"/>
          <w:lang w:val="sr-Cyrl-CS"/>
        </w:rPr>
        <w:t xml:space="preserve"> је</w:t>
      </w:r>
      <w:r w:rsidR="00682740">
        <w:rPr>
          <w:rFonts w:ascii="Arial" w:hAnsi="Arial" w:cs="Arial"/>
          <w:lang w:val="sr-Cyrl-CS"/>
        </w:rPr>
        <w:t xml:space="preserve"> </w:t>
      </w:r>
      <w:r w:rsidR="00101829">
        <w:rPr>
          <w:rFonts w:ascii="Arial" w:hAnsi="Arial" w:cs="Arial"/>
          <w:lang w:val="sr-Cyrl-CS"/>
        </w:rPr>
        <w:t>Упутство понуђачима како да сачине понуду</w:t>
      </w:r>
      <w:r w:rsidR="00682740">
        <w:rPr>
          <w:rFonts w:ascii="Arial" w:hAnsi="Arial" w:cs="Arial"/>
          <w:lang w:val="sr-Cyrl-CS"/>
        </w:rPr>
        <w:t xml:space="preserve"> и то у тачкама:</w:t>
      </w:r>
    </w:p>
    <w:p w:rsidR="00682740" w:rsidRPr="00101829" w:rsidRDefault="00682740" w:rsidP="00682740">
      <w:pPr>
        <w:spacing w:before="240" w:after="240"/>
        <w:rPr>
          <w:rFonts w:ascii="Arial" w:eastAsia="TimesNewRomanPSMT" w:hAnsi="Arial" w:cs="Arial"/>
          <w:b/>
          <w:bCs/>
          <w:color w:val="000000"/>
          <w:lang w:val="sr-Cyrl-CS"/>
        </w:rPr>
      </w:pPr>
      <w:r w:rsidRPr="00101829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3.1. ПОДАЦИ О ЈЕЗИКУ НА КОЈЕМ ПОНУДА МОРА ДА БУДЕ САСТАВЉЕНА</w:t>
      </w:r>
    </w:p>
    <w:p w:rsidR="00682740" w:rsidRPr="004C4333" w:rsidRDefault="00682740" w:rsidP="0068274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Понуда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мора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бити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сачињена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на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српском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језику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>.</w:t>
      </w:r>
      <w:r w:rsidRPr="00101829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Уколико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је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одређени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документ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на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страном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језику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понуђач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је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дужан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да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поред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документа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на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страном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језику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достави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и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превод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тог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документа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на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српски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Cs/>
          <w:color w:val="000000"/>
          <w:lang w:val="en-US"/>
        </w:rPr>
        <w:t>језик</w:t>
      </w:r>
      <w:proofErr w:type="spellEnd"/>
      <w:r w:rsidRPr="00101829">
        <w:rPr>
          <w:rFonts w:ascii="Arial" w:eastAsia="TimesNewRomanPSMT" w:hAnsi="Arial" w:cs="Arial"/>
          <w:bCs/>
          <w:color w:val="000000"/>
          <w:lang w:val="sr-Cyrl-RS"/>
        </w:rPr>
        <w:t>.</w:t>
      </w:r>
      <w:r w:rsidRPr="00101829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r w:rsidRPr="00101829">
        <w:rPr>
          <w:rFonts w:ascii="Arial" w:eastAsia="TimesNewRomanPSMT" w:hAnsi="Arial" w:cs="Arial"/>
          <w:bCs/>
          <w:color w:val="000000"/>
          <w:lang w:val="sr-Cyrl-RS"/>
        </w:rPr>
        <w:t xml:space="preserve">Каталог или изводи из каталога могу бити </w:t>
      </w:r>
      <w:r w:rsidRPr="00101829">
        <w:rPr>
          <w:rFonts w:ascii="Arial" w:eastAsia="Calibri" w:hAnsi="Arial" w:cs="Arial"/>
          <w:sz w:val="22"/>
          <w:szCs w:val="22"/>
          <w:lang w:val="sr-Cyrl-CS"/>
        </w:rPr>
        <w:t>на српском или енглеском језику.</w:t>
      </w:r>
      <w:r w:rsidRPr="00101829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</w:p>
    <w:p w:rsidR="004C4333" w:rsidRDefault="004C4333" w:rsidP="004C4333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4C4333" w:rsidRPr="00101829" w:rsidRDefault="004C4333" w:rsidP="004C4333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en-US"/>
        </w:rPr>
      </w:pPr>
      <w:r w:rsidRPr="00101829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3.11. ВАЛУТА И НАЧИН НА КОЈИ МОРА БИТИ НАВЕДЕНА И ИЗРАЖЕНА ЦЕНА У ПОНУДИ</w:t>
      </w:r>
    </w:p>
    <w:p w:rsidR="004C4333" w:rsidRPr="004C4333" w:rsidRDefault="004C4333" w:rsidP="004C4333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en-US"/>
        </w:rPr>
      </w:pP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Цене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у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понуди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могу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бити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исказане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у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динарима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sr-Cyrl-RS"/>
        </w:rPr>
        <w:t xml:space="preserve"> или еврима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без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ПДВ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укључујући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елементе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њене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структуре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(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нпр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.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трошкове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превоза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рада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осигурања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ев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.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попусте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и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друге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зависне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трошкове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).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Уколико је цена исказана у страној валути, за прерачун у динаре, користиће се средњи девизни курс Народне банке Србије на дан када је започето отварање понуда.</w:t>
      </w:r>
    </w:p>
    <w:p w:rsidR="004C4333" w:rsidRDefault="004C4333" w:rsidP="004C433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sr-Cyrl-RS"/>
        </w:rPr>
      </w:pPr>
    </w:p>
    <w:p w:rsidR="00A7193D" w:rsidRPr="00A7193D" w:rsidRDefault="00A7193D" w:rsidP="00A7193D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sr-Cyrl-RS"/>
        </w:rPr>
      </w:pPr>
      <w:r w:rsidRPr="00A7193D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3.18. КРИТЕРИЈУМ ЗА ДОДЕЛУ УГОВОРА:</w:t>
      </w:r>
    </w:p>
    <w:p w:rsidR="00A7193D" w:rsidRPr="00A7193D" w:rsidRDefault="00A7193D" w:rsidP="00A7193D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r w:rsidRPr="00A7193D">
        <w:rPr>
          <w:rFonts w:ascii="Arial" w:eastAsia="Calibri" w:hAnsi="Arial" w:cs="Arial"/>
          <w:b/>
          <w:lang w:val="sr-Cyrl-CS"/>
        </w:rPr>
        <w:t xml:space="preserve">1 </w:t>
      </w:r>
      <w:r w:rsidRPr="00A7193D">
        <w:rPr>
          <w:rFonts w:ascii="Arial" w:eastAsia="Calibri" w:hAnsi="Arial" w:cs="Arial"/>
          <w:lang w:val="sr-Cyrl-CS"/>
        </w:rPr>
        <w:t>.</w:t>
      </w:r>
      <w:r w:rsidRPr="00A7193D">
        <w:rPr>
          <w:rFonts w:ascii="Arial" w:eastAsia="Calibri" w:hAnsi="Arial" w:cs="Arial"/>
          <w:u w:val="single"/>
          <w:lang w:val="sr-Cyrl-CS"/>
        </w:rPr>
        <w:t xml:space="preserve"> </w:t>
      </w:r>
      <w:r w:rsidRPr="00A7193D">
        <w:rPr>
          <w:rFonts w:ascii="Arial" w:eastAsia="Calibri" w:hAnsi="Arial" w:cs="Arial"/>
          <w:lang w:val="sr-Cyrl-CS"/>
        </w:rPr>
        <w:t xml:space="preserve">Критеријум за оцењивање понуда </w:t>
      </w:r>
      <w:r w:rsidRPr="00A7193D">
        <w:rPr>
          <w:rFonts w:ascii="Arial" w:eastAsia="Calibri" w:hAnsi="Arial" w:cs="Arial"/>
          <w:lang w:val="en-US"/>
        </w:rPr>
        <w:t xml:space="preserve">je </w:t>
      </w:r>
      <w:r w:rsidRPr="00A7193D">
        <w:rPr>
          <w:rFonts w:ascii="Arial" w:eastAsia="Calibri" w:hAnsi="Arial" w:cs="Arial"/>
          <w:b/>
          <w:u w:val="single"/>
          <w:lang w:val="sr-Cyrl-CS"/>
        </w:rPr>
        <w:t>НАЈНИЖА ЦЕНА</w:t>
      </w:r>
      <w:r w:rsidRPr="00A7193D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</w:p>
    <w:p w:rsidR="00A7193D" w:rsidRPr="00A7193D" w:rsidRDefault="00A7193D" w:rsidP="00A7193D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A7193D">
        <w:rPr>
          <w:rFonts w:ascii="Arial" w:eastAsia="Calibri" w:hAnsi="Arial" w:cs="Arial"/>
          <w:lang w:val="en-US"/>
        </w:rPr>
        <w:t xml:space="preserve">У </w:t>
      </w:r>
      <w:proofErr w:type="spellStart"/>
      <w:r w:rsidRPr="00A7193D">
        <w:rPr>
          <w:rFonts w:ascii="Arial" w:eastAsia="Calibri" w:hAnsi="Arial" w:cs="Arial"/>
          <w:lang w:val="en-US"/>
        </w:rPr>
        <w:t>случају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примене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критеријума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најниже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а у </w:t>
      </w:r>
      <w:proofErr w:type="spellStart"/>
      <w:r w:rsidRPr="00A7193D">
        <w:rPr>
          <w:rFonts w:ascii="Arial" w:eastAsia="Calibri" w:hAnsi="Arial" w:cs="Arial"/>
          <w:lang w:val="en-US"/>
        </w:rPr>
        <w:t>ситуацији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када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постоје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понуде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наручилац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мора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изабрати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под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условом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његова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понуђена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није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преко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>20</w:t>
      </w:r>
      <w:r w:rsidRPr="00A7193D">
        <w:rPr>
          <w:rFonts w:ascii="Arial" w:eastAsia="Calibri" w:hAnsi="Arial" w:cs="Arial"/>
          <w:lang w:val="en-US"/>
        </w:rPr>
        <w:t xml:space="preserve">% </w:t>
      </w:r>
      <w:proofErr w:type="spellStart"/>
      <w:r w:rsidRPr="00A7193D">
        <w:rPr>
          <w:rFonts w:ascii="Arial" w:eastAsia="Calibri" w:hAnsi="Arial" w:cs="Arial"/>
          <w:lang w:val="en-US"/>
        </w:rPr>
        <w:t>већа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односу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најнижу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понуђену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. </w:t>
      </w:r>
    </w:p>
    <w:p w:rsidR="00A7193D" w:rsidRPr="00A7193D" w:rsidRDefault="00A7193D" w:rsidP="00A7193D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proofErr w:type="gramStart"/>
      <w:r w:rsidRPr="00A7193D">
        <w:rPr>
          <w:rFonts w:ascii="Arial" w:eastAsia="Calibri" w:hAnsi="Arial" w:cs="Arial"/>
          <w:lang w:val="en-US"/>
        </w:rPr>
        <w:t xml:space="preserve">У </w:t>
      </w:r>
      <w:proofErr w:type="spellStart"/>
      <w:r w:rsidRPr="00A7193D">
        <w:rPr>
          <w:rFonts w:ascii="Arial" w:eastAsia="Calibri" w:hAnsi="Arial" w:cs="Arial"/>
          <w:lang w:val="en-US"/>
        </w:rPr>
        <w:t>понуђену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урачунавају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царинске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дажбине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  <w:proofErr w:type="gramEnd"/>
    </w:p>
    <w:p w:rsidR="00A7193D" w:rsidRPr="00A7193D" w:rsidRDefault="00A7193D" w:rsidP="00A7193D">
      <w:pPr>
        <w:spacing w:after="120"/>
        <w:jc w:val="both"/>
        <w:rPr>
          <w:rFonts w:ascii="Arial" w:eastAsia="Calibri" w:hAnsi="Arial" w:cs="Arial"/>
          <w:lang w:val="en-US"/>
        </w:rPr>
      </w:pPr>
      <w:proofErr w:type="spellStart"/>
      <w:proofErr w:type="gramStart"/>
      <w:r w:rsidRPr="00A7193D">
        <w:rPr>
          <w:rFonts w:ascii="Arial" w:eastAsia="Calibri" w:hAnsi="Arial" w:cs="Arial"/>
          <w:lang w:val="en-US"/>
        </w:rPr>
        <w:lastRenderedPageBreak/>
        <w:t>Када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достави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доказ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наручилац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ће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пре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рангирања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позвати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све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остале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чије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оцењене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као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прихватљиве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изјасне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ли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доставе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доказ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  <w:proofErr w:type="gramEnd"/>
    </w:p>
    <w:p w:rsidR="00A7193D" w:rsidRPr="00A7193D" w:rsidRDefault="00A7193D" w:rsidP="00A7193D">
      <w:pPr>
        <w:spacing w:after="120"/>
        <w:jc w:val="both"/>
        <w:rPr>
          <w:rFonts w:ascii="Arial" w:eastAsia="Calibri" w:hAnsi="Arial" w:cs="Arial"/>
          <w:lang w:val="en-US"/>
        </w:rPr>
      </w:pPr>
      <w:proofErr w:type="spellStart"/>
      <w:proofErr w:type="gramStart"/>
      <w:r w:rsidRPr="00A7193D">
        <w:rPr>
          <w:rFonts w:ascii="Arial" w:eastAsia="Calibri" w:hAnsi="Arial" w:cs="Arial"/>
          <w:lang w:val="en-US"/>
        </w:rPr>
        <w:t>Предност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дата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 xml:space="preserve">за домаће понуђаче и добра домаћег порекла (члан 86. </w:t>
      </w:r>
      <w:proofErr w:type="spellStart"/>
      <w:r w:rsidRPr="00A7193D">
        <w:rPr>
          <w:rFonts w:ascii="Arial" w:eastAsia="Calibri" w:hAnsi="Arial" w:cs="Arial"/>
          <w:lang w:val="en-US"/>
        </w:rPr>
        <w:t>ст</w:t>
      </w:r>
      <w:proofErr w:type="spellEnd"/>
      <w:r w:rsidRPr="00A7193D">
        <w:rPr>
          <w:rFonts w:ascii="Arial" w:eastAsia="Calibri" w:hAnsi="Arial" w:cs="Arial"/>
          <w:lang w:val="sr-Cyrl-RS"/>
        </w:rPr>
        <w:t>ав</w:t>
      </w:r>
      <w:r w:rsidRPr="00A7193D">
        <w:rPr>
          <w:rFonts w:ascii="Arial" w:eastAsia="Calibri" w:hAnsi="Arial" w:cs="Arial"/>
          <w:lang w:val="en-US"/>
        </w:rPr>
        <w:t xml:space="preserve"> 1. </w:t>
      </w:r>
      <w:proofErr w:type="spellStart"/>
      <w:r w:rsidRPr="00A7193D">
        <w:rPr>
          <w:rFonts w:ascii="Arial" w:eastAsia="Calibri" w:hAnsi="Arial" w:cs="Arial"/>
          <w:lang w:val="en-US"/>
        </w:rPr>
        <w:t>до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4.</w:t>
      </w:r>
      <w:proofErr w:type="gram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>ЗЈН)</w:t>
      </w:r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поступцима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јавних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набавки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којима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учествују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држава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потписница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о </w:t>
      </w:r>
      <w:proofErr w:type="spellStart"/>
      <w:r w:rsidRPr="00A7193D">
        <w:rPr>
          <w:rFonts w:ascii="Arial" w:eastAsia="Calibri" w:hAnsi="Arial" w:cs="Arial"/>
          <w:lang w:val="en-US"/>
        </w:rPr>
        <w:t>слободној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трговини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централној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Европи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(ЦЕФТА 2006) </w:t>
      </w:r>
      <w:proofErr w:type="spellStart"/>
      <w:r w:rsidRPr="00A7193D">
        <w:rPr>
          <w:rFonts w:ascii="Arial" w:eastAsia="Calibri" w:hAnsi="Arial" w:cs="Arial"/>
          <w:lang w:val="en-US"/>
        </w:rPr>
        <w:t>примењиваће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сходно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одредбама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тог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</w:p>
    <w:p w:rsidR="00A7193D" w:rsidRPr="00A7193D" w:rsidRDefault="00A7193D" w:rsidP="00A7193D">
      <w:pPr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A7193D">
        <w:rPr>
          <w:rFonts w:ascii="Arial" w:eastAsia="Calibri" w:hAnsi="Arial" w:cs="Arial"/>
          <w:lang w:val="en-US"/>
        </w:rPr>
        <w:t>Предност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дата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>за домаће понуђаче и добра домаћег порекла (члан 86. став</w:t>
      </w:r>
      <w:r w:rsidRPr="00A7193D">
        <w:rPr>
          <w:rFonts w:ascii="Arial" w:eastAsia="Calibri" w:hAnsi="Arial" w:cs="Arial"/>
          <w:lang w:val="en-US"/>
        </w:rPr>
        <w:t xml:space="preserve"> 1. </w:t>
      </w:r>
      <w:proofErr w:type="spellStart"/>
      <w:r w:rsidRPr="00A7193D">
        <w:rPr>
          <w:rFonts w:ascii="Arial" w:eastAsia="Calibri" w:hAnsi="Arial" w:cs="Arial"/>
          <w:lang w:val="en-US"/>
        </w:rPr>
        <w:t>до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4.</w:t>
      </w:r>
      <w:proofErr w:type="gramEnd"/>
      <w:r w:rsidRPr="00A7193D">
        <w:rPr>
          <w:rFonts w:ascii="Arial" w:eastAsia="Calibri" w:hAnsi="Arial" w:cs="Arial"/>
          <w:lang w:val="sr-Cyrl-RS"/>
        </w:rPr>
        <w:t xml:space="preserve"> ЗЈН)</w:t>
      </w:r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поступцима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јавних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набавки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којима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учествују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држава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потписница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о </w:t>
      </w:r>
      <w:proofErr w:type="spellStart"/>
      <w:r w:rsidRPr="00A7193D">
        <w:rPr>
          <w:rFonts w:ascii="Arial" w:eastAsia="Calibri" w:hAnsi="Arial" w:cs="Arial"/>
          <w:lang w:val="en-US"/>
        </w:rPr>
        <w:t>стабилизацији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придруживању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између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Европских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заједница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њихових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држава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чланица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са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једне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и </w:t>
      </w:r>
      <w:proofErr w:type="spellStart"/>
      <w:r w:rsidRPr="00A7193D">
        <w:rPr>
          <w:rFonts w:ascii="Arial" w:eastAsia="Calibri" w:hAnsi="Arial" w:cs="Arial"/>
          <w:lang w:val="en-US"/>
        </w:rPr>
        <w:t>Републике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Србије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са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друге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примењиваће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сходно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одредбама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тог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</w:p>
    <w:p w:rsidR="004C4333" w:rsidRPr="00101829" w:rsidRDefault="004C4333" w:rsidP="004C433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en-US"/>
        </w:rPr>
      </w:pPr>
    </w:p>
    <w:p w:rsidR="004C4333" w:rsidRPr="00682740" w:rsidRDefault="004C4333" w:rsidP="004C4333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</w:p>
    <w:p w:rsidR="00682740" w:rsidRPr="00101829" w:rsidRDefault="00682740" w:rsidP="00682740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</w:p>
    <w:p w:rsidR="00682740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Извршена је измена</w:t>
      </w:r>
      <w:r w:rsidR="00CE37CD">
        <w:rPr>
          <w:rFonts w:ascii="Arial" w:hAnsi="Arial" w:cs="Arial"/>
          <w:lang w:val="sr-Cyrl-CS"/>
        </w:rPr>
        <w:t xml:space="preserve"> члана 4.</w:t>
      </w:r>
      <w:r>
        <w:rPr>
          <w:rFonts w:ascii="Arial" w:hAnsi="Arial" w:cs="Arial"/>
          <w:lang w:val="sr-Cyrl-CS"/>
        </w:rPr>
        <w:t xml:space="preserve"> Модела уговора </w:t>
      </w:r>
    </w:p>
    <w:p w:rsidR="0009585F" w:rsidRPr="0009585F" w:rsidRDefault="0009585F" w:rsidP="0009585F">
      <w:pPr>
        <w:spacing w:before="120" w:after="120"/>
        <w:ind w:firstLine="567"/>
        <w:jc w:val="both"/>
        <w:rPr>
          <w:rFonts w:ascii="Arial" w:hAnsi="Arial" w:cs="Arial"/>
          <w:b/>
          <w:lang w:val="sr-Cyrl-CS"/>
        </w:rPr>
      </w:pPr>
      <w:r w:rsidRPr="0009585F">
        <w:rPr>
          <w:rFonts w:ascii="Arial" w:hAnsi="Arial" w:cs="Arial"/>
          <w:b/>
          <w:lang w:val="sr-Cyrl-CS"/>
        </w:rPr>
        <w:t>ЦЕНА</w:t>
      </w:r>
    </w:p>
    <w:p w:rsidR="0009585F" w:rsidRPr="0009585F" w:rsidRDefault="0009585F" w:rsidP="0009585F">
      <w:pPr>
        <w:spacing w:before="120" w:after="120"/>
        <w:jc w:val="center"/>
        <w:rPr>
          <w:rFonts w:ascii="Arial" w:hAnsi="Arial" w:cs="Arial"/>
          <w:lang w:val="en-US"/>
        </w:rPr>
      </w:pPr>
      <w:r w:rsidRPr="0009585F">
        <w:rPr>
          <w:rFonts w:ascii="Arial" w:hAnsi="Arial" w:cs="Arial"/>
          <w:lang w:val="sr-Cyrl-CS"/>
        </w:rPr>
        <w:t>Члан 4.</w:t>
      </w:r>
    </w:p>
    <w:p w:rsidR="0009585F" w:rsidRPr="0009585F" w:rsidRDefault="0009585F" w:rsidP="0009585F">
      <w:pPr>
        <w:ind w:right="30"/>
        <w:rPr>
          <w:rFonts w:ascii="Arial" w:hAnsi="Arial" w:cs="Arial"/>
          <w:lang w:val="en-US"/>
        </w:rPr>
      </w:pPr>
      <w:r w:rsidRPr="0009585F">
        <w:rPr>
          <w:rFonts w:ascii="Arial" w:hAnsi="Arial" w:cs="Arial"/>
          <w:lang w:val="sr-Cyrl-CS"/>
        </w:rPr>
        <w:t xml:space="preserve">Купац се обавезује да Продавцу на име цене за испоручена добра која су предмет овог уговора плати износ од _____________ динара. Порез на додату вредност (20%) износи ___________ динара. Укупна вредност уговора износи </w:t>
      </w:r>
      <w:r w:rsidRPr="0009585F">
        <w:rPr>
          <w:rFonts w:ascii="Arial" w:hAnsi="Arial" w:cs="Arial"/>
          <w:b/>
          <w:lang w:val="sr-Cyrl-CS"/>
        </w:rPr>
        <w:t>____________</w:t>
      </w:r>
      <w:r w:rsidRPr="0009585F">
        <w:rPr>
          <w:rFonts w:ascii="Arial" w:hAnsi="Arial" w:cs="Arial"/>
          <w:lang w:val="sr-Cyrl-CS"/>
        </w:rPr>
        <w:t xml:space="preserve"> динара. (</w:t>
      </w:r>
      <w:proofErr w:type="spellStart"/>
      <w:r w:rsidRPr="0009585F">
        <w:rPr>
          <w:rFonts w:ascii="Arial" w:hAnsi="Arial" w:cs="Arial"/>
          <w:lang w:val="en-US"/>
        </w:rPr>
        <w:t>Уколико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је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понуду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поднео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страни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понуђач</w:t>
      </w:r>
      <w:proofErr w:type="spellEnd"/>
      <w:r w:rsidRPr="0009585F">
        <w:rPr>
          <w:rFonts w:ascii="Arial" w:hAnsi="Arial" w:cs="Arial"/>
          <w:lang w:val="en-US"/>
        </w:rPr>
        <w:t xml:space="preserve">, </w:t>
      </w:r>
      <w:proofErr w:type="spellStart"/>
      <w:r w:rsidRPr="0009585F">
        <w:rPr>
          <w:rFonts w:ascii="Arial" w:hAnsi="Arial" w:cs="Arial"/>
          <w:lang w:val="en-US"/>
        </w:rPr>
        <w:t>понуђена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цена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је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фиксна</w:t>
      </w:r>
      <w:proofErr w:type="spellEnd"/>
      <w:r w:rsidRPr="0009585F">
        <w:rPr>
          <w:rFonts w:ascii="Arial" w:hAnsi="Arial" w:cs="Arial"/>
          <w:lang w:val="en-US"/>
        </w:rPr>
        <w:t xml:space="preserve"> у ЕУР </w:t>
      </w:r>
      <w:proofErr w:type="spellStart"/>
      <w:r w:rsidRPr="0009585F">
        <w:rPr>
          <w:rFonts w:ascii="Arial" w:hAnsi="Arial" w:cs="Arial"/>
          <w:lang w:val="en-US"/>
        </w:rPr>
        <w:t>за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цео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уговорени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период</w:t>
      </w:r>
      <w:proofErr w:type="spellEnd"/>
      <w:r w:rsidRPr="0009585F">
        <w:rPr>
          <w:rFonts w:ascii="Arial" w:hAnsi="Arial" w:cs="Arial"/>
          <w:lang w:val="en-US"/>
        </w:rPr>
        <w:t xml:space="preserve"> и </w:t>
      </w:r>
      <w:proofErr w:type="spellStart"/>
      <w:r w:rsidRPr="0009585F">
        <w:rPr>
          <w:rFonts w:ascii="Arial" w:hAnsi="Arial" w:cs="Arial"/>
          <w:lang w:val="en-US"/>
        </w:rPr>
        <w:t>не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подлеже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никаквој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промени</w:t>
      </w:r>
      <w:proofErr w:type="spellEnd"/>
      <w:r w:rsidRPr="0009585F">
        <w:rPr>
          <w:rFonts w:ascii="Arial" w:hAnsi="Arial" w:cs="Arial"/>
          <w:lang w:val="sr-Cyrl-RS"/>
        </w:rPr>
        <w:t>)</w:t>
      </w:r>
      <w:r w:rsidRPr="0009585F">
        <w:rPr>
          <w:rFonts w:ascii="Arial" w:hAnsi="Arial" w:cs="Arial"/>
          <w:lang w:val="en-US"/>
        </w:rPr>
        <w:t xml:space="preserve"> </w:t>
      </w:r>
    </w:p>
    <w:p w:rsidR="0009585F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>
      <w:pPr>
        <w:spacing w:after="200" w:line="276" w:lineRule="auto"/>
        <w:rPr>
          <w:rFonts w:ascii="Arial" w:hAnsi="Arial" w:cs="Arial"/>
          <w:lang w:val="sr-Cyrl-CS"/>
        </w:rPr>
      </w:pPr>
    </w:p>
    <w:sectPr w:rsidR="00101829" w:rsidSect="00101829">
      <w:footerReference w:type="default" r:id="rId11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CC" w:rsidRDefault="00BA78CC">
      <w:r>
        <w:separator/>
      </w:r>
    </w:p>
  </w:endnote>
  <w:endnote w:type="continuationSeparator" w:id="0">
    <w:p w:rsidR="00BA78CC" w:rsidRDefault="00BA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4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74F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CC" w:rsidRDefault="00BA78CC">
      <w:r>
        <w:separator/>
      </w:r>
    </w:p>
  </w:footnote>
  <w:footnote w:type="continuationSeparator" w:id="0">
    <w:p w:rsidR="00BA78CC" w:rsidRDefault="00BA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23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20"/>
  </w:num>
  <w:num w:numId="14">
    <w:abstractNumId w:val="16"/>
  </w:num>
  <w:num w:numId="15">
    <w:abstractNumId w:val="4"/>
  </w:num>
  <w:num w:numId="16">
    <w:abstractNumId w:val="25"/>
  </w:num>
  <w:num w:numId="17">
    <w:abstractNumId w:val="24"/>
  </w:num>
  <w:num w:numId="18">
    <w:abstractNumId w:val="6"/>
  </w:num>
  <w:num w:numId="19">
    <w:abstractNumId w:val="18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7"/>
  </w:num>
  <w:num w:numId="25">
    <w:abstractNumId w:val="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4C4333"/>
    <w:rsid w:val="00682740"/>
    <w:rsid w:val="006D74FA"/>
    <w:rsid w:val="00717206"/>
    <w:rsid w:val="009F2BDA"/>
    <w:rsid w:val="00A45576"/>
    <w:rsid w:val="00A7193D"/>
    <w:rsid w:val="00B91814"/>
    <w:rsid w:val="00BA78CC"/>
    <w:rsid w:val="00CE37CD"/>
    <w:rsid w:val="00DB5B0A"/>
    <w:rsid w:val="00D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8</cp:revision>
  <cp:lastPrinted>2013-09-12T09:56:00Z</cp:lastPrinted>
  <dcterms:created xsi:type="dcterms:W3CDTF">2013-09-12T08:04:00Z</dcterms:created>
  <dcterms:modified xsi:type="dcterms:W3CDTF">2013-09-12T10:01:00Z</dcterms:modified>
</cp:coreProperties>
</file>