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295D8C">
        <w:rPr>
          <w:rFonts w:ascii="Arial" w:hAnsi="Arial" w:cs="Arial"/>
          <w:i/>
          <w:color w:val="4F81BD"/>
          <w:sz w:val="22"/>
          <w:szCs w:val="22"/>
        </w:rPr>
        <w:t>ДОБАРА</w:t>
      </w:r>
      <w:r w:rsidRPr="00295D8C">
        <w:rPr>
          <w:rFonts w:ascii="Arial" w:hAnsi="Arial" w:cs="Arial"/>
          <w:sz w:val="22"/>
          <w:szCs w:val="22"/>
          <w:lang w:val="ru-RU"/>
        </w:rPr>
        <w:t xml:space="preserve"> </w:t>
      </w:r>
      <w:r w:rsidR="001E2BF1" w:rsidRPr="001E2BF1">
        <w:rPr>
          <w:rFonts w:ascii="Arial" w:hAnsi="Arial" w:cs="Arial"/>
          <w:sz w:val="22"/>
          <w:szCs w:val="22"/>
        </w:rPr>
        <w:t>Лежајеви и њихови елементи за потребе одржавања у ТЕНТ-у</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E2BF1" w:rsidRPr="001E2BF1">
        <w:rPr>
          <w:rFonts w:ascii="Arial" w:hAnsi="Arial" w:cs="Arial"/>
          <w:sz w:val="22"/>
          <w:szCs w:val="22"/>
        </w:rPr>
        <w:t>3000/1639/2017 (497/2017, 1595/2017,1500/2017)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77184">
        <w:rPr>
          <w:rFonts w:ascii="Arial" w:hAnsi="Arial" w:cs="Arial"/>
          <w:sz w:val="22"/>
          <w:szCs w:val="22"/>
          <w:lang w:val="sr-Latn-RS"/>
        </w:rPr>
        <w:t>105.e.03.01-3701/1-2018</w:t>
      </w:r>
      <w:r w:rsidRPr="00295D8C">
        <w:rPr>
          <w:rFonts w:ascii="Arial" w:hAnsi="Arial" w:cs="Arial"/>
          <w:sz w:val="22"/>
          <w:szCs w:val="22"/>
        </w:rPr>
        <w:t xml:space="preserve"> од </w:t>
      </w:r>
      <w:r w:rsidR="00377184">
        <w:rPr>
          <w:rFonts w:ascii="Arial" w:hAnsi="Arial" w:cs="Arial"/>
          <w:sz w:val="22"/>
          <w:szCs w:val="22"/>
          <w:lang w:val="sr-Latn-RS"/>
        </w:rPr>
        <w:t>04.01.2018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77184"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Latn-RS"/>
        </w:rPr>
        <w:t>04.01.</w:t>
      </w:r>
      <w:r w:rsidR="00E07723" w:rsidRPr="00295D8C">
        <w:rPr>
          <w:rFonts w:ascii="Arial" w:hAnsi="Arial" w:cs="Arial"/>
          <w:i/>
          <w:sz w:val="22"/>
          <w:szCs w:val="22"/>
        </w:rPr>
        <w:t>20</w:t>
      </w:r>
      <w:r>
        <w:rPr>
          <w:rFonts w:ascii="Arial" w:hAnsi="Arial" w:cs="Arial"/>
          <w:i/>
          <w:sz w:val="22"/>
          <w:szCs w:val="22"/>
          <w:lang w:val="sr-Latn-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1E2BF1" w:rsidRDefault="00C6690C" w:rsidP="00DF23B4">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1E2BF1">
        <w:rPr>
          <w:rFonts w:ascii="Arial" w:hAnsi="Arial" w:cs="Arial"/>
          <w:sz w:val="22"/>
          <w:szCs w:val="22"/>
          <w:lang w:val="sr-Latn-RS"/>
        </w:rPr>
        <w:t>:</w:t>
      </w:r>
    </w:p>
    <w:p w:rsidR="00C6690C" w:rsidRPr="00295D8C" w:rsidRDefault="00C6690C" w:rsidP="001E2BF1">
      <w:pPr>
        <w:pStyle w:val="BodyText"/>
        <w:jc w:val="center"/>
        <w:rPr>
          <w:rFonts w:ascii="Arial" w:hAnsi="Arial" w:cs="Arial"/>
          <w:sz w:val="22"/>
          <w:szCs w:val="22"/>
        </w:rPr>
      </w:pPr>
      <w:r w:rsidRPr="00295D8C">
        <w:rPr>
          <w:rFonts w:ascii="Arial" w:hAnsi="Arial" w:cs="Arial"/>
          <w:sz w:val="22"/>
          <w:szCs w:val="22"/>
          <w:lang w:val="ru-RU"/>
        </w:rPr>
        <w:t xml:space="preserve"> </w:t>
      </w:r>
      <w:r w:rsidR="001E2BF1" w:rsidRPr="001E2BF1">
        <w:rPr>
          <w:rFonts w:ascii="Arial" w:hAnsi="Arial" w:cs="Arial"/>
          <w:sz w:val="22"/>
          <w:szCs w:val="22"/>
        </w:rPr>
        <w:t>Лежајеви и њихови елементи за потребе одржавања у ТЕНТ-у</w:t>
      </w: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Latn-RS"/>
        </w:rPr>
      </w:pPr>
      <w:r w:rsidRPr="00295D8C">
        <w:rPr>
          <w:rFonts w:ascii="Arial" w:hAnsi="Arial" w:cs="Arial"/>
          <w:sz w:val="22"/>
          <w:szCs w:val="22"/>
        </w:rPr>
        <w:t>1.</w:t>
      </w:r>
    </w:p>
    <w:p w:rsidR="001E2BF1" w:rsidRPr="001E2BF1" w:rsidRDefault="001E2BF1" w:rsidP="001E2BF1">
      <w:pPr>
        <w:suppressAutoHyphens w:val="0"/>
        <w:spacing w:before="120" w:after="200" w:line="276" w:lineRule="auto"/>
        <w:jc w:val="both"/>
        <w:outlineLvl w:val="0"/>
        <w:rPr>
          <w:rFonts w:ascii="Arial" w:hAnsi="Arial" w:cs="Arial"/>
          <w:b/>
          <w:bCs/>
          <w:kern w:val="32"/>
          <w:sz w:val="22"/>
          <w:szCs w:val="22"/>
          <w:lang w:val="en-US" w:eastAsia="en-US"/>
        </w:rPr>
      </w:pPr>
      <w:r w:rsidRPr="001E2BF1">
        <w:rPr>
          <w:rFonts w:ascii="Arial" w:hAnsi="Arial" w:cs="Arial"/>
          <w:b/>
          <w:bCs/>
          <w:kern w:val="32"/>
          <w:sz w:val="22"/>
          <w:szCs w:val="22"/>
          <w:lang w:val="en-US" w:eastAsia="en-US"/>
        </w:rPr>
        <w:t>ТЕХНИЧКА СПЕЦИФИКАЦИЈА</w:t>
      </w:r>
      <w:r>
        <w:rPr>
          <w:rFonts w:ascii="Arial" w:hAnsi="Arial" w:cs="Arial"/>
          <w:b/>
          <w:bCs/>
          <w:kern w:val="32"/>
          <w:sz w:val="22"/>
          <w:szCs w:val="22"/>
          <w:lang w:val="en-US" w:eastAsia="en-US"/>
        </w:rPr>
        <w:t xml:space="preserve"> </w:t>
      </w:r>
      <w:r>
        <w:rPr>
          <w:rFonts w:ascii="Arial" w:hAnsi="Arial" w:cs="Arial"/>
          <w:b/>
          <w:bCs/>
          <w:kern w:val="32"/>
          <w:sz w:val="22"/>
          <w:szCs w:val="22"/>
          <w:lang w:val="sr-Cyrl-RS" w:eastAsia="en-US"/>
        </w:rPr>
        <w:t xml:space="preserve">у тачки </w:t>
      </w:r>
      <w:r w:rsidRPr="001E2BF1">
        <w:rPr>
          <w:rFonts w:ascii="Arial" w:hAnsi="Arial" w:cs="Arial"/>
          <w:b/>
          <w:bCs/>
          <w:kern w:val="32"/>
          <w:sz w:val="22"/>
          <w:szCs w:val="22"/>
          <w:lang w:val="sr-Cyrl-RS" w:eastAsia="en-US"/>
        </w:rPr>
        <w:t>3.1 .Врста и опис добара</w:t>
      </w:r>
      <w:r>
        <w:rPr>
          <w:rFonts w:ascii="Arial" w:hAnsi="Arial" w:cs="Arial"/>
          <w:b/>
          <w:bCs/>
          <w:kern w:val="32"/>
          <w:sz w:val="22"/>
          <w:szCs w:val="22"/>
          <w:lang w:val="sr-Cyrl-RS" w:eastAsia="en-US"/>
        </w:rPr>
        <w:t>, мења се за ставке 158 и 159 и сада гласи:</w:t>
      </w:r>
      <w:r w:rsidRPr="001E2BF1">
        <w:rPr>
          <w:rFonts w:ascii="Arial" w:hAnsi="Arial" w:cs="Arial"/>
          <w:b/>
          <w:bCs/>
          <w:kern w:val="32"/>
          <w:sz w:val="22"/>
          <w:szCs w:val="22"/>
          <w:lang w:val="sr-Cyrl-RS" w:eastAsia="en-US"/>
        </w:rPr>
        <w:t xml:space="preserve"> </w:t>
      </w:r>
    </w:p>
    <w:tbl>
      <w:tblPr>
        <w:tblW w:w="11200" w:type="dxa"/>
        <w:tblInd w:w="-908" w:type="dxa"/>
        <w:tblLook w:val="04A0" w:firstRow="1" w:lastRow="0" w:firstColumn="1" w:lastColumn="0" w:noHBand="0" w:noVBand="1"/>
      </w:tblPr>
      <w:tblGrid>
        <w:gridCol w:w="460"/>
        <w:gridCol w:w="1780"/>
        <w:gridCol w:w="1640"/>
        <w:gridCol w:w="1000"/>
        <w:gridCol w:w="960"/>
        <w:gridCol w:w="840"/>
        <w:gridCol w:w="1060"/>
        <w:gridCol w:w="1900"/>
        <w:gridCol w:w="1560"/>
      </w:tblGrid>
      <w:tr w:rsidR="001E2BF1" w:rsidRPr="001E2BF1" w:rsidTr="001E2BF1">
        <w:trPr>
          <w:trHeight w:val="112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2BF1" w:rsidRPr="00353370" w:rsidRDefault="001E2BF1" w:rsidP="003C04B1">
            <w:pPr>
              <w:jc w:val="center"/>
              <w:rPr>
                <w:rFonts w:ascii="Calibri" w:hAnsi="Calibri"/>
                <w:color w:val="000000"/>
                <w:sz w:val="16"/>
                <w:szCs w:val="16"/>
                <w:lang w:val="sr-Latn-RS" w:eastAsia="sr-Latn-RS"/>
              </w:rPr>
            </w:pPr>
            <w:r w:rsidRPr="00353370">
              <w:rPr>
                <w:rFonts w:ascii="Calibri" w:hAnsi="Calibri"/>
                <w:color w:val="000000"/>
                <w:sz w:val="16"/>
                <w:szCs w:val="16"/>
                <w:lang w:val="sr-Latn-RS" w:eastAsia="sr-Latn-RS"/>
              </w:rPr>
              <w:t>158</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7224 M</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Jednoredni kuglični ležaj sa kosim dodirom</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Cilindričan</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sz w:val="16"/>
                <w:szCs w:val="16"/>
              </w:rPr>
            </w:pPr>
            <w:r w:rsidRPr="00CA2E79">
              <w:rPr>
                <w:rFonts w:ascii="Calibri" w:hAnsi="Calibri"/>
                <w:sz w:val="16"/>
                <w:szCs w:val="16"/>
              </w:rPr>
              <w:t>Mesingani</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 xml:space="preserve"> </w:t>
            </w:r>
            <w:r>
              <w:rPr>
                <w:rFonts w:ascii="Calibri" w:hAnsi="Calibri"/>
                <w:color w:val="000000"/>
                <w:sz w:val="16"/>
                <w:szCs w:val="16"/>
              </w:rPr>
              <w:t>- Dimenzione tolerancije normalna</w:t>
            </w:r>
            <w:r w:rsidRPr="00CA2E79">
              <w:rPr>
                <w:rFonts w:ascii="Calibri" w:hAnsi="Calibri"/>
                <w:color w:val="000000"/>
                <w:sz w:val="16"/>
                <w:szCs w:val="16"/>
              </w:rPr>
              <w:t xml:space="preserve"> ili bolja                            - </w:t>
            </w:r>
            <w:r>
              <w:rPr>
                <w:rFonts w:ascii="Calibri" w:hAnsi="Calibri"/>
                <w:color w:val="000000"/>
                <w:sz w:val="16"/>
                <w:szCs w:val="16"/>
              </w:rPr>
              <w:t>Geometrijske tolerancije normalna</w:t>
            </w:r>
            <w:r w:rsidRPr="00CA2E79">
              <w:rPr>
                <w:rFonts w:ascii="Calibri" w:hAnsi="Calibri"/>
                <w:color w:val="000000"/>
                <w:sz w:val="16"/>
                <w:szCs w:val="16"/>
              </w:rPr>
              <w:t xml:space="preserve"> ili bolja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Ugao dodira 40⁰</w:t>
            </w:r>
          </w:p>
        </w:tc>
      </w:tr>
      <w:tr w:rsidR="001E2BF1" w:rsidRPr="001E2BF1" w:rsidTr="001E2BF1">
        <w:trPr>
          <w:trHeight w:val="112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2BF1" w:rsidRPr="00353370" w:rsidRDefault="001E2BF1" w:rsidP="003C04B1">
            <w:pPr>
              <w:jc w:val="center"/>
              <w:rPr>
                <w:rFonts w:ascii="Calibri" w:hAnsi="Calibri"/>
                <w:color w:val="000000"/>
                <w:sz w:val="16"/>
                <w:szCs w:val="16"/>
                <w:lang w:val="sr-Latn-RS" w:eastAsia="sr-Latn-RS"/>
              </w:rPr>
            </w:pPr>
            <w:r w:rsidRPr="00353370">
              <w:rPr>
                <w:rFonts w:ascii="Calibri" w:hAnsi="Calibri"/>
                <w:color w:val="000000"/>
                <w:sz w:val="16"/>
                <w:szCs w:val="16"/>
                <w:lang w:val="sr-Latn-RS" w:eastAsia="sr-Latn-RS"/>
              </w:rPr>
              <w:t>159</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7228 M</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Jednoredni kuglični ležaj sa kosim dodirom</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Cilindričan</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sz w:val="16"/>
                <w:szCs w:val="16"/>
              </w:rPr>
            </w:pPr>
            <w:r w:rsidRPr="00CA2E79">
              <w:rPr>
                <w:rFonts w:ascii="Calibri" w:hAnsi="Calibri"/>
                <w:sz w:val="16"/>
                <w:szCs w:val="16"/>
              </w:rPr>
              <w:t>Mesingani</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 xml:space="preserve">  </w:t>
            </w:r>
            <w:r>
              <w:rPr>
                <w:rFonts w:ascii="Calibri" w:hAnsi="Calibri"/>
                <w:color w:val="000000"/>
                <w:sz w:val="16"/>
                <w:szCs w:val="16"/>
              </w:rPr>
              <w:t>- Dimenzione tolerancije normalna</w:t>
            </w:r>
            <w:r w:rsidRPr="00CA2E79">
              <w:rPr>
                <w:rFonts w:ascii="Calibri" w:hAnsi="Calibri"/>
                <w:color w:val="000000"/>
                <w:sz w:val="16"/>
                <w:szCs w:val="16"/>
              </w:rPr>
              <w:t xml:space="preserve"> ili bolja                            - </w:t>
            </w:r>
            <w:r>
              <w:rPr>
                <w:rFonts w:ascii="Calibri" w:hAnsi="Calibri"/>
                <w:color w:val="000000"/>
                <w:sz w:val="16"/>
                <w:szCs w:val="16"/>
              </w:rPr>
              <w:t>Geometrijske tolerancije normalna</w:t>
            </w:r>
            <w:r w:rsidRPr="00CA2E79">
              <w:rPr>
                <w:rFonts w:ascii="Calibri" w:hAnsi="Calibri"/>
                <w:color w:val="000000"/>
                <w:sz w:val="16"/>
                <w:szCs w:val="16"/>
              </w:rPr>
              <w:t xml:space="preserve"> ili bolja</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1E2BF1" w:rsidRPr="00CA2E79" w:rsidRDefault="001E2BF1" w:rsidP="003C04B1">
            <w:pPr>
              <w:jc w:val="center"/>
              <w:rPr>
                <w:rFonts w:ascii="Calibri" w:hAnsi="Calibri"/>
                <w:color w:val="000000"/>
                <w:sz w:val="16"/>
                <w:szCs w:val="16"/>
              </w:rPr>
            </w:pPr>
            <w:r w:rsidRPr="00CA2E79">
              <w:rPr>
                <w:rFonts w:ascii="Calibri" w:hAnsi="Calibri"/>
                <w:color w:val="000000"/>
                <w:sz w:val="16"/>
                <w:szCs w:val="16"/>
              </w:rPr>
              <w:t>Ugao dodira 40⁰</w:t>
            </w:r>
          </w:p>
        </w:tc>
      </w:tr>
    </w:tbl>
    <w:p w:rsidR="001E2BF1" w:rsidRDefault="001E2BF1" w:rsidP="004073D9">
      <w:pPr>
        <w:jc w:val="center"/>
        <w:rPr>
          <w:rFonts w:ascii="Arial" w:hAnsi="Arial" w:cs="Arial"/>
          <w:sz w:val="22"/>
          <w:szCs w:val="22"/>
          <w:lang w:val="sr-Latn-RS"/>
        </w:rPr>
      </w:pPr>
    </w:p>
    <w:p w:rsidR="001E2BF1" w:rsidRPr="001E2BF1" w:rsidRDefault="001E2BF1" w:rsidP="004073D9">
      <w:pPr>
        <w:jc w:val="center"/>
        <w:rPr>
          <w:rFonts w:ascii="Arial" w:hAnsi="Arial" w:cs="Arial"/>
          <w:sz w:val="22"/>
          <w:szCs w:val="22"/>
          <w:lang w:val="sr-Latn-RS"/>
        </w:rPr>
      </w:pPr>
    </w:p>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lang w:val="sr-Latn-RS"/>
        </w:rPr>
      </w:pPr>
      <w:r w:rsidRPr="00295D8C">
        <w:rPr>
          <w:rFonts w:ascii="Arial" w:hAnsi="Arial" w:cs="Arial"/>
          <w:sz w:val="22"/>
          <w:szCs w:val="22"/>
        </w:rPr>
        <w:t>2.</w:t>
      </w:r>
    </w:p>
    <w:p w:rsidR="00B008B1" w:rsidRPr="00B008B1" w:rsidRDefault="00B008B1" w:rsidP="00AA51DA">
      <w:pPr>
        <w:jc w:val="center"/>
        <w:rPr>
          <w:rFonts w:ascii="Arial" w:hAnsi="Arial" w:cs="Arial"/>
          <w:sz w:val="22"/>
          <w:szCs w:val="22"/>
          <w:lang w:val="sr-Latn-RS"/>
        </w:rPr>
      </w:pPr>
      <w:bookmarkStart w:id="0" w:name="_GoBack"/>
      <w:bookmarkEnd w:id="0"/>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3C04B1" w:rsidRDefault="003C04B1" w:rsidP="003C04B1">
      <w:pPr>
        <w:rPr>
          <w:rFonts w:ascii="Arial" w:hAnsi="Arial" w:cs="Arial"/>
          <w:sz w:val="22"/>
          <w:szCs w:val="22"/>
          <w:lang w:val="sr-Cyrl-RS"/>
        </w:rPr>
      </w:pPr>
      <w:r>
        <w:rPr>
          <w:rFonts w:ascii="Arial" w:hAnsi="Arial" w:cs="Arial"/>
          <w:sz w:val="22"/>
          <w:szCs w:val="22"/>
          <w:lang w:val="sr-Cyrl-RS"/>
        </w:rPr>
        <w:t>Прилог: измењена Техничка спецификација</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tbl>
      <w:tblPr>
        <w:tblpPr w:leftFromText="180" w:rightFromText="180" w:vertAnchor="text" w:horzAnchor="page" w:tblpX="1182" w:tblpY="-2312"/>
        <w:tblW w:w="10221" w:type="dxa"/>
        <w:tblLayout w:type="fixed"/>
        <w:tblLook w:val="04A0" w:firstRow="1" w:lastRow="0" w:firstColumn="1" w:lastColumn="0" w:noHBand="0" w:noVBand="1"/>
      </w:tblPr>
      <w:tblGrid>
        <w:gridCol w:w="461"/>
        <w:gridCol w:w="1255"/>
        <w:gridCol w:w="104"/>
        <w:gridCol w:w="1314"/>
        <w:gridCol w:w="176"/>
        <w:gridCol w:w="816"/>
        <w:gridCol w:w="182"/>
        <w:gridCol w:w="669"/>
        <w:gridCol w:w="289"/>
        <w:gridCol w:w="573"/>
        <w:gridCol w:w="296"/>
        <w:gridCol w:w="826"/>
        <w:gridCol w:w="1843"/>
        <w:gridCol w:w="1417"/>
      </w:tblGrid>
      <w:tr w:rsidR="003C04B1" w:rsidRPr="003C04B1" w:rsidTr="003C04B1">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Radijalni kuglični ležajevi spoljnjeg prečnika D≤200mm          </w:t>
            </w:r>
            <w:r w:rsidRPr="003C04B1">
              <w:rPr>
                <w:rFonts w:ascii="Calibri" w:hAnsi="Calibri"/>
                <w:color w:val="000000"/>
                <w:sz w:val="18"/>
                <w:szCs w:val="18"/>
                <w:lang w:val="sr-Latn-RS" w:eastAsia="sr-Latn-RS"/>
              </w:rP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SRPS ISO 15:2015</w:t>
            </w:r>
            <w:r w:rsidRPr="003C04B1">
              <w:rPr>
                <w:rFonts w:ascii="Calibri" w:hAnsi="Calibri"/>
                <w:color w:val="000000"/>
                <w:sz w:val="18"/>
                <w:szCs w:val="18"/>
                <w:lang w:val="sr-Latn-RS" w:eastAsia="sr-Latn-RS"/>
              </w:rPr>
              <w:t xml:space="preserve"> ili ekvivalentnom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255"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1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2"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851"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2"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1122"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Zaptivke</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608-2Z/C3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6002-2Z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6004-2Z/C3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6005-2Z/C3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6019-2Z/C3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6024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6204-2Z/C3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49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6205-2Z/C3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6208-2Z/C3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6209-2Z/C3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61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6211-2RS</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gumeno metalni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6212-2RS</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gumeno metalni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73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6219-2Z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6220 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6222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6300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85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97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6305-2Z/C3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99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6308-2Z/C3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108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6309-2Z/C3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109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6310-2RS/C3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gumeno metalni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119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121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6314-2Z/C3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122</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123</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124</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125</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126</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127</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128</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129</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130</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6319 ZZ/C3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131</w:t>
            </w:r>
          </w:p>
        </w:tc>
        <w:tc>
          <w:tcPr>
            <w:tcW w:w="1255"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16013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Radijalni kuglični ležajevi spoljnjeg prečnika D&gt;200mm          </w:t>
            </w:r>
            <w:r w:rsidRPr="003C04B1">
              <w:rPr>
                <w:rFonts w:ascii="Calibri" w:hAnsi="Calibri"/>
                <w:color w:val="000000"/>
                <w:sz w:val="18"/>
                <w:szCs w:val="18"/>
                <w:lang w:val="sr-Latn-RS" w:eastAsia="sr-Latn-RS"/>
              </w:rP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SRPS ISO 15:2015</w:t>
            </w:r>
            <w:r w:rsidRPr="003C04B1">
              <w:rPr>
                <w:rFonts w:ascii="Calibri" w:hAnsi="Calibri"/>
                <w:color w:val="000000"/>
                <w:sz w:val="18"/>
                <w:szCs w:val="18"/>
                <w:lang w:val="sr-Latn-RS" w:eastAsia="sr-Latn-RS"/>
              </w:rPr>
              <w:t xml:space="preserve"> ili ekvivalentnom                                                        </w:t>
            </w:r>
            <w:r w:rsidRPr="003C04B1">
              <w:rPr>
                <w:rFonts w:ascii="Calibri" w:hAnsi="Calibri"/>
                <w:color w:val="000000"/>
                <w:sz w:val="18"/>
                <w:szCs w:val="18"/>
                <w:lang w:val="sr-Latn-RS" w:eastAsia="sr-Latn-RS"/>
              </w:rPr>
              <w:br/>
              <w:t xml:space="preserve">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Zaptivke</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6226 MC4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6228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6232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6320-2Z</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obostrano zatvoren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6338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380"/>
        </w:trPr>
        <w:tc>
          <w:tcPr>
            <w:tcW w:w="461" w:type="dxa"/>
            <w:tcBorders>
              <w:top w:val="nil"/>
              <w:left w:val="nil"/>
              <w:bottom w:val="nil"/>
              <w:right w:val="nil"/>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p>
        </w:tc>
        <w:tc>
          <w:tcPr>
            <w:tcW w:w="6500" w:type="dxa"/>
            <w:gridSpan w:val="11"/>
            <w:tcBorders>
              <w:top w:val="single" w:sz="4" w:space="0" w:color="auto"/>
              <w:left w:val="single" w:sz="4" w:space="0" w:color="auto"/>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Radijalni dvoredni kuglični ležajevi spoljnjeg prečnika D≤200mm          </w:t>
            </w:r>
            <w:r w:rsidRPr="003C04B1">
              <w:rPr>
                <w:rFonts w:ascii="Calibri" w:hAnsi="Calibri"/>
                <w:color w:val="000000"/>
                <w:sz w:val="18"/>
                <w:szCs w:val="18"/>
                <w:lang w:val="sr-Latn-RS" w:eastAsia="sr-Latn-RS"/>
              </w:rP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SRPS ISO 15:2015</w:t>
            </w:r>
            <w:r w:rsidRPr="003C04B1">
              <w:rPr>
                <w:rFonts w:ascii="Calibri" w:hAnsi="Calibri"/>
                <w:color w:val="000000"/>
                <w:sz w:val="18"/>
                <w:szCs w:val="18"/>
                <w:lang w:val="sr-Latn-RS" w:eastAsia="sr-Latn-RS"/>
              </w:rPr>
              <w:t xml:space="preserve"> ili ekvivalentnom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4207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dvoredni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380"/>
        </w:trPr>
        <w:tc>
          <w:tcPr>
            <w:tcW w:w="461" w:type="dxa"/>
            <w:tcBorders>
              <w:top w:val="nil"/>
              <w:left w:val="nil"/>
              <w:bottom w:val="nil"/>
              <w:right w:val="nil"/>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p>
        </w:tc>
        <w:tc>
          <w:tcPr>
            <w:tcW w:w="6500" w:type="dxa"/>
            <w:gridSpan w:val="11"/>
            <w:tcBorders>
              <w:top w:val="single" w:sz="4" w:space="0" w:color="auto"/>
              <w:left w:val="single" w:sz="4" w:space="0" w:color="auto"/>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Radijalni kuglični ležajevi serije 64..    </w:t>
            </w:r>
            <w:r w:rsidRPr="003C04B1">
              <w:rPr>
                <w:rFonts w:ascii="Calibri" w:hAnsi="Calibri"/>
                <w:color w:val="000000"/>
                <w:sz w:val="18"/>
                <w:szCs w:val="18"/>
                <w:lang w:val="sr-Latn-RS" w:eastAsia="sr-Latn-RS"/>
              </w:rPr>
              <w:t xml:space="preserve">                                                                                                                 Dimenzije prema standardu </w:t>
            </w:r>
            <w:r w:rsidRPr="003C04B1">
              <w:rPr>
                <w:rFonts w:ascii="Calibri" w:hAnsi="Calibri"/>
                <w:b/>
                <w:bCs/>
                <w:color w:val="000000"/>
                <w:sz w:val="18"/>
                <w:szCs w:val="18"/>
                <w:lang w:val="sr-Latn-RS" w:eastAsia="sr-Latn-RS"/>
              </w:rPr>
              <w:t>SRPS ISO 15:2015</w:t>
            </w:r>
            <w:r w:rsidRPr="003C04B1">
              <w:rPr>
                <w:rFonts w:ascii="Calibri" w:hAnsi="Calibri"/>
                <w:color w:val="000000"/>
                <w:sz w:val="18"/>
                <w:szCs w:val="18"/>
                <w:lang w:val="sr-Latn-RS" w:eastAsia="sr-Latn-RS"/>
              </w:rPr>
              <w:t xml:space="preserve"> ili ekvivalentnom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6403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140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6411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nil"/>
              <w:right w:val="single" w:sz="4" w:space="0" w:color="auto"/>
            </w:tcBorders>
            <w:shd w:val="clear" w:color="000000" w:fill="FFFFFF"/>
            <w:noWrap/>
            <w:vAlign w:val="center"/>
            <w:hideMark/>
          </w:tcPr>
          <w:p w:rsidR="003C04B1" w:rsidRPr="003C04B1" w:rsidRDefault="003C04B1" w:rsidP="003C04B1">
            <w:pPr>
              <w:suppressAutoHyphens w:val="0"/>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6415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sz w:val="18"/>
                <w:szCs w:val="18"/>
                <w:lang w:val="sr-Latn-RS" w:eastAsia="sr-Latn-RS"/>
              </w:rPr>
              <w:t xml:space="preserve">Radijalni kuglični ležajevi za ležajne jedinice  </w:t>
            </w:r>
            <w:r w:rsidRPr="003C04B1">
              <w:rPr>
                <w:rFonts w:ascii="Calibri" w:hAnsi="Calibri"/>
                <w:sz w:val="18"/>
                <w:szCs w:val="18"/>
                <w:lang w:val="sr-Latn-RS" w:eastAsia="sr-Latn-RS"/>
              </w:rPr>
              <w:t xml:space="preserve">                                                                                                                                             Materijal prema standardu </w:t>
            </w:r>
            <w:r w:rsidRPr="003C04B1">
              <w:rPr>
                <w:rFonts w:ascii="Calibri" w:hAnsi="Calibri"/>
                <w:b/>
                <w:bCs/>
                <w:sz w:val="18"/>
                <w:szCs w:val="18"/>
                <w:lang w:val="sr-Latn-RS" w:eastAsia="sr-Latn-RS"/>
              </w:rPr>
              <w:t>SRPS EN ISO 683-17:2015</w:t>
            </w:r>
            <w:r w:rsidRPr="003C04B1">
              <w:rPr>
                <w:rFonts w:ascii="Calibri" w:hAnsi="Calibri"/>
                <w:sz w:val="18"/>
                <w:szCs w:val="18"/>
                <w:lang w:val="sr-Latn-RS" w:eastAsia="sr-Latn-RS"/>
              </w:rPr>
              <w:t xml:space="preserve"> ili ekvivalentnom           </w:t>
            </w:r>
            <w:r w:rsidRPr="003C04B1">
              <w:rPr>
                <w:rFonts w:ascii="Calibri" w:hAnsi="Calibri"/>
                <w:sz w:val="18"/>
                <w:szCs w:val="18"/>
                <w:lang w:val="sr-Latn-RS" w:eastAsia="sr-Latn-RS"/>
              </w:rPr>
              <w:br/>
              <w:t xml:space="preserve">                         Dimenzije prema standardu </w:t>
            </w:r>
            <w:r w:rsidRPr="003C04B1">
              <w:rPr>
                <w:rFonts w:ascii="Calibri" w:hAnsi="Calibri"/>
                <w:b/>
                <w:bCs/>
                <w:sz w:val="18"/>
                <w:szCs w:val="18"/>
                <w:lang w:val="sr-Latn-RS" w:eastAsia="sr-Latn-RS"/>
              </w:rPr>
              <w:t xml:space="preserve"> ISO 9628:2006</w:t>
            </w:r>
            <w:r w:rsidRPr="003C04B1">
              <w:rPr>
                <w:rFonts w:ascii="Calibri" w:hAnsi="Calibri"/>
                <w:sz w:val="18"/>
                <w:szCs w:val="18"/>
                <w:lang w:val="sr-Latn-RS" w:eastAsia="sr-Latn-RS"/>
              </w:rPr>
              <w:t xml:space="preserve">  ili ekvivalentnom                                                                                                                                                                                    Tolerancije prema standardu </w:t>
            </w:r>
            <w:r w:rsidRPr="003C04B1">
              <w:rPr>
                <w:rFonts w:ascii="Calibri" w:hAnsi="Calibri"/>
                <w:b/>
                <w:bCs/>
                <w:sz w:val="18"/>
                <w:szCs w:val="18"/>
                <w:lang w:val="sr-Latn-RS" w:eastAsia="sr-Latn-RS"/>
              </w:rPr>
              <w:t>ISO 9628:2006</w:t>
            </w:r>
            <w:r w:rsidRPr="003C04B1">
              <w:rPr>
                <w:rFonts w:ascii="Calibri" w:hAnsi="Calibri"/>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9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UC 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Radijalni kuglični ležaj za ležajne jedinice obostrano zatvoren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Zaptivač može biti metalni ili gumeni</w:t>
            </w:r>
          </w:p>
        </w:tc>
      </w:tr>
      <w:tr w:rsidR="003C04B1" w:rsidRPr="003C04B1" w:rsidTr="003C04B1">
        <w:trPr>
          <w:trHeight w:val="9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GYE20KRRB</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Radijalni kuglični ležaj za ležajne jedinice obostrano zatvoren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Zaptivač može biti metalni ili gumeni</w:t>
            </w:r>
          </w:p>
        </w:tc>
      </w:tr>
      <w:tr w:rsidR="003C04B1" w:rsidRPr="003C04B1" w:rsidTr="003C04B1">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Jednoredni kuglični ležajevi sa kosim dodirom D&lt;200mm     </w:t>
            </w:r>
            <w:r w:rsidRPr="003C04B1">
              <w:rPr>
                <w:rFonts w:ascii="Calibri" w:hAnsi="Calibri"/>
                <w:color w:val="000000"/>
                <w:sz w:val="18"/>
                <w:szCs w:val="18"/>
                <w:lang w:val="sr-Latn-RS" w:eastAsia="sr-Latn-RS"/>
              </w:rPr>
              <w:t xml:space="preserve">                                                                                      Materijal prema standardu SRPS EN ISO 683-17:2015 ili ekvivalentnom                                                             Dimenzije prema standardu </w:t>
            </w:r>
            <w:r w:rsidRPr="003C04B1">
              <w:rPr>
                <w:rFonts w:ascii="Calibri" w:hAnsi="Calibri"/>
                <w:b/>
                <w:bCs/>
                <w:color w:val="000000"/>
                <w:sz w:val="18"/>
                <w:szCs w:val="18"/>
                <w:lang w:val="sr-Latn-RS" w:eastAsia="sr-Latn-RS"/>
              </w:rPr>
              <w:t>SRPS ISO 15:2015 i SRPS ISO 12044:2004</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147</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148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7217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149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7317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7318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Ugao dodira 40⁰</w:t>
            </w:r>
          </w:p>
        </w:tc>
      </w:tr>
      <w:tr w:rsidR="003C04B1" w:rsidRPr="003C04B1" w:rsidTr="003C04B1">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Jednoredni kuglični ležajevi sa kosim dodirom D≥200mm     </w:t>
            </w:r>
            <w:r w:rsidRPr="003C04B1">
              <w:rPr>
                <w:rFonts w:ascii="Calibri" w:hAnsi="Calibri"/>
                <w:color w:val="000000"/>
                <w:sz w:val="18"/>
                <w:szCs w:val="18"/>
                <w:lang w:val="sr-Latn-RS" w:eastAsia="sr-Latn-RS"/>
              </w:rPr>
              <w:t xml:space="preserve">                                                                                      Materijal prema standardu SRPS EN ISO 683-17:2015 ili ekvivalentnom                                                             Dimenzije prema standardu </w:t>
            </w:r>
            <w:r w:rsidRPr="003C04B1">
              <w:rPr>
                <w:rFonts w:ascii="Calibri" w:hAnsi="Calibri"/>
                <w:b/>
                <w:bCs/>
                <w:color w:val="000000"/>
                <w:sz w:val="18"/>
                <w:szCs w:val="18"/>
                <w:lang w:val="sr-Latn-RS" w:eastAsia="sr-Latn-RS"/>
              </w:rPr>
              <w:t>SRPS ISO 15:2015 i SRPS ISO 12044:2004</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158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7224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Cilindričan</w:t>
            </w:r>
          </w:p>
        </w:tc>
        <w:tc>
          <w:tcPr>
            <w:tcW w:w="958" w:type="dxa"/>
            <w:gridSpan w:val="2"/>
            <w:tcBorders>
              <w:top w:val="nil"/>
              <w:left w:val="nil"/>
              <w:bottom w:val="nil"/>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en-US" w:eastAsia="en-US"/>
              </w:rPr>
            </w:pPr>
            <w:r w:rsidRPr="003C04B1">
              <w:rPr>
                <w:rFonts w:ascii="Calibri" w:hAnsi="Calibri"/>
                <w:sz w:val="16"/>
                <w:szCs w:val="16"/>
                <w:lang w:val="en-US" w:eastAsia="en-U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 xml:space="preserve"> - Dimenzione tolerancije normalna ili bolja                            - Geometrijske tolerancije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Ugao dodira 40⁰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159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7228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Cilindričan</w:t>
            </w:r>
          </w:p>
        </w:tc>
        <w:tc>
          <w:tcPr>
            <w:tcW w:w="9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en-US" w:eastAsia="en-US"/>
              </w:rPr>
            </w:pPr>
            <w:r w:rsidRPr="003C04B1">
              <w:rPr>
                <w:rFonts w:ascii="Calibri" w:hAnsi="Calibri"/>
                <w:sz w:val="16"/>
                <w:szCs w:val="16"/>
                <w:lang w:val="en-US" w:eastAsia="en-U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 xml:space="preserve">  - Dimenzione tolerancije normalna ili bolja                            - Geometrijske tolerancije normalna ili bolja</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en-US" w:eastAsia="en-US"/>
              </w:rPr>
            </w:pPr>
            <w:r w:rsidRPr="003C04B1">
              <w:rPr>
                <w:rFonts w:ascii="Calibri" w:hAnsi="Calibri"/>
                <w:color w:val="000000"/>
                <w:sz w:val="16"/>
                <w:szCs w:val="16"/>
                <w:lang w:val="en-US" w:eastAsia="en-US"/>
              </w:rPr>
              <w:t>Ugao dodira 40⁰</w:t>
            </w:r>
          </w:p>
        </w:tc>
      </w:tr>
      <w:tr w:rsidR="003C04B1" w:rsidRPr="003C04B1" w:rsidTr="003C04B1">
        <w:trPr>
          <w:trHeight w:val="1125"/>
        </w:trPr>
        <w:tc>
          <w:tcPr>
            <w:tcW w:w="461" w:type="dxa"/>
            <w:tcBorders>
              <w:top w:val="single" w:sz="4" w:space="0" w:color="auto"/>
              <w:left w:val="single" w:sz="4" w:space="0" w:color="auto"/>
              <w:bottom w:val="single" w:sz="4" w:space="0" w:color="auto"/>
              <w:right w:val="nil"/>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160</w:t>
            </w:r>
          </w:p>
        </w:tc>
        <w:tc>
          <w:tcPr>
            <w:tcW w:w="13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7416 M</w:t>
            </w:r>
          </w:p>
        </w:tc>
        <w:tc>
          <w:tcPr>
            <w:tcW w:w="1490" w:type="dxa"/>
            <w:gridSpan w:val="2"/>
            <w:tcBorders>
              <w:top w:val="single" w:sz="4" w:space="0" w:color="auto"/>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Jednoredni kuglični ležaj sa kosim dodirom</w:t>
            </w:r>
          </w:p>
        </w:tc>
        <w:tc>
          <w:tcPr>
            <w:tcW w:w="99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b/>
                <w:bCs/>
                <w:color w:val="FF0000"/>
                <w:sz w:val="16"/>
                <w:szCs w:val="16"/>
                <w:lang w:val="sr-Latn-RS" w:eastAsia="sr-Latn-RS"/>
              </w:rPr>
            </w:pPr>
            <w:r w:rsidRPr="003C04B1">
              <w:rPr>
                <w:rFonts w:ascii="Calibri" w:hAnsi="Calibri"/>
                <w:b/>
                <w:bCs/>
                <w:color w:val="FF0000"/>
                <w:sz w:val="16"/>
                <w:szCs w:val="16"/>
                <w:lang w:val="sr-Latn-RS" w:eastAsia="sr-Latn-RS"/>
              </w:rPr>
              <w:t> </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b/>
                <w:bCs/>
                <w:color w:val="FF0000"/>
                <w:sz w:val="16"/>
                <w:szCs w:val="16"/>
                <w:lang w:val="sr-Latn-RS" w:eastAsia="sr-Latn-RS"/>
              </w:rPr>
            </w:pPr>
            <w:r w:rsidRPr="003C04B1">
              <w:rPr>
                <w:rFonts w:ascii="Calibri" w:hAnsi="Calibri"/>
                <w:b/>
                <w:bCs/>
                <w:color w:val="FF0000"/>
                <w:sz w:val="16"/>
                <w:szCs w:val="16"/>
                <w:lang w:val="sr-Latn-RS" w:eastAsia="sr-Latn-RS"/>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40⁰</w:t>
            </w:r>
          </w:p>
        </w:tc>
      </w:tr>
      <w:tr w:rsidR="003C04B1" w:rsidRPr="003C04B1" w:rsidTr="003C04B1">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3C04B1">
              <w:rPr>
                <w:rFonts w:ascii="Calibri" w:hAnsi="Calibri"/>
                <w:color w:val="000000"/>
                <w:sz w:val="18"/>
                <w:szCs w:val="18"/>
                <w:lang w:val="sr-Latn-RS" w:eastAsia="sr-Latn-RS"/>
              </w:rPr>
              <w:t xml:space="preserve">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od 25 do 35⁰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od 25 do 35⁰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od 25 do 35⁰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od 25 do 35⁰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od 25 do 35⁰</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Ugao dodira                    od 25 do 35⁰</w:t>
            </w:r>
          </w:p>
        </w:tc>
      </w:tr>
      <w:tr w:rsidR="003C04B1" w:rsidRPr="003C04B1" w:rsidTr="003C04B1">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Samopodesivi kuglični ležajevi    </w:t>
            </w:r>
            <w:r w:rsidRPr="003C04B1">
              <w:rPr>
                <w:rFonts w:ascii="Calibri" w:hAnsi="Calibri"/>
                <w:color w:val="000000"/>
                <w:sz w:val="18"/>
                <w:szCs w:val="18"/>
                <w:lang w:val="sr-Latn-RS" w:eastAsia="sr-Latn-RS"/>
              </w:rP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 xml:space="preserve">SRPS ISO 15:2015 </w:t>
            </w:r>
            <w:r w:rsidRPr="003C04B1">
              <w:rPr>
                <w:rFonts w:ascii="Calibri" w:hAnsi="Calibri"/>
                <w:color w:val="000000"/>
                <w:sz w:val="18"/>
                <w:szCs w:val="18"/>
                <w:lang w:val="sr-Latn-RS" w:eastAsia="sr-Latn-RS"/>
              </w:rPr>
              <w:t xml:space="preserve"> ili ekvivalentnom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167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1204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169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1206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1213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1213 KC3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178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179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1312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1319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189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191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2217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2222 C4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b/>
                <w:bCs/>
                <w:color w:val="FF0000"/>
                <w:sz w:val="16"/>
                <w:szCs w:val="16"/>
                <w:lang w:val="sr-Latn-RS" w:eastAsia="sr-Latn-RS"/>
              </w:rPr>
            </w:pPr>
            <w:r w:rsidRPr="003C04B1">
              <w:rPr>
                <w:rFonts w:ascii="Calibri" w:hAnsi="Calibri"/>
                <w:b/>
                <w:bCs/>
                <w:color w:val="FF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197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Kuglični ležajevi sa dodirom u četiri tačke QJ...</w:t>
            </w:r>
            <w:r w:rsidRPr="003C04B1">
              <w:rPr>
                <w:rFonts w:ascii="Calibri" w:hAnsi="Calibri"/>
                <w:color w:val="000000"/>
                <w:sz w:val="18"/>
                <w:szCs w:val="18"/>
                <w:lang w:val="sr-Latn-RS" w:eastAsia="sr-Latn-RS"/>
              </w:rP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w:t>
            </w:r>
            <w:r w:rsidRPr="003C04B1">
              <w:rPr>
                <w:rFonts w:ascii="Calibri" w:hAnsi="Calibri"/>
                <w:color w:val="000000"/>
                <w:sz w:val="18"/>
                <w:szCs w:val="18"/>
                <w:lang w:val="sr-Latn-RS" w:eastAsia="sr-Latn-RS"/>
              </w:rPr>
              <w:br/>
              <w:t xml:space="preserve">           Dimenzije prema standardu </w:t>
            </w:r>
            <w:r w:rsidRPr="003C04B1">
              <w:rPr>
                <w:rFonts w:ascii="Calibri" w:hAnsi="Calibri"/>
                <w:b/>
                <w:bCs/>
                <w:color w:val="000000"/>
                <w:sz w:val="18"/>
                <w:szCs w:val="18"/>
                <w:lang w:val="sr-Latn-RS" w:eastAsia="sr-Latn-RS"/>
              </w:rPr>
              <w:t>SRPS ISO 15:2015 i  ISO 20515</w:t>
            </w:r>
            <w:r w:rsidRPr="003C04B1">
              <w:rPr>
                <w:rFonts w:ascii="Calibri" w:hAnsi="Calibri"/>
                <w:color w:val="000000"/>
                <w:sz w:val="18"/>
                <w:szCs w:val="18"/>
                <w:lang w:val="sr-Latn-RS" w:eastAsia="sr-Latn-RS"/>
              </w:rPr>
              <w:t xml:space="preserve"> ili ekvivalentnom                           Unutrašnji zazor prema standardu </w:t>
            </w:r>
            <w:r w:rsidRPr="003C04B1">
              <w:rPr>
                <w:rFonts w:ascii="Calibri" w:hAnsi="Calibri"/>
                <w:b/>
                <w:bCs/>
                <w:color w:val="000000"/>
                <w:sz w:val="18"/>
                <w:szCs w:val="18"/>
                <w:lang w:val="sr-Latn-RS" w:eastAsia="sr-Latn-RS"/>
              </w:rPr>
              <w:t>SRPS ISO 5753-2:2015</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492:2015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198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QJ 320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Kuglični ležaj sa dodirom u četiri tačke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Ležaj treba da ima dva žleba za učvršćenje na spoljnom prstenu pod uglom 180 stepeni</w:t>
            </w:r>
          </w:p>
        </w:tc>
      </w:tr>
      <w:tr w:rsidR="003C04B1" w:rsidRPr="003C04B1" w:rsidTr="003C04B1">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color w:val="000000"/>
                <w:sz w:val="18"/>
                <w:szCs w:val="18"/>
                <w:lang w:val="sr-Latn-RS" w:eastAsia="sr-Latn-RS"/>
              </w:rPr>
              <w:t xml:space="preserve">Aksijalni kuglični ležajevi                                                                                                                       </w:t>
            </w:r>
            <w:r w:rsidRPr="003C04B1">
              <w:rPr>
                <w:rFonts w:ascii="Calibri" w:hAnsi="Calibri"/>
                <w:color w:val="000000"/>
                <w:sz w:val="18"/>
                <w:szCs w:val="18"/>
                <w:lang w:val="sr-Latn-RS" w:eastAsia="sr-Latn-RS"/>
              </w:rPr>
              <w:b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 xml:space="preserve">SRPS ISO 104:2015 </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199:2015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199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51104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51117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209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211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51214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51308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52212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dvostrano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53211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53213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53314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color w:val="000000"/>
                <w:sz w:val="18"/>
                <w:szCs w:val="18"/>
                <w:lang w:val="sr-Latn-RS" w:eastAsia="sr-Latn-RS"/>
              </w:rPr>
              <w:t xml:space="preserve">Bačvasti aksijani ležajevi                                                                                                                         </w:t>
            </w:r>
            <w:r w:rsidRPr="003C04B1">
              <w:rPr>
                <w:rFonts w:ascii="Calibri" w:hAnsi="Calibri"/>
                <w:color w:val="000000"/>
                <w:sz w:val="18"/>
                <w:szCs w:val="18"/>
                <w:lang w:val="sr-Latn-RS" w:eastAsia="sr-Latn-RS"/>
              </w:rPr>
              <w:br/>
              <w:t xml:space="preserve">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 xml:space="preserve">SRPS ISO 104:2015 </w:t>
            </w:r>
            <w:r w:rsidRPr="003C04B1">
              <w:rPr>
                <w:rFonts w:ascii="Calibri" w:hAnsi="Calibri"/>
                <w:color w:val="000000"/>
                <w:sz w:val="18"/>
                <w:szCs w:val="18"/>
                <w:lang w:val="sr-Latn-RS" w:eastAsia="sr-Latn-RS"/>
              </w:rPr>
              <w:t xml:space="preserve"> ili ekvivalentnom                                                                                                             Tolerancije prema standardu </w:t>
            </w:r>
            <w:r w:rsidRPr="003C04B1">
              <w:rPr>
                <w:rFonts w:ascii="Calibri" w:hAnsi="Calibri"/>
                <w:b/>
                <w:bCs/>
                <w:color w:val="000000"/>
                <w:sz w:val="18"/>
                <w:szCs w:val="18"/>
                <w:lang w:val="sr-Latn-RS" w:eastAsia="sr-Latn-RS"/>
              </w:rPr>
              <w:t>SRPS ISO 199:2015</w:t>
            </w:r>
            <w:r w:rsidRPr="003C04B1">
              <w:rPr>
                <w:rFonts w:ascii="Calibri" w:hAnsi="Calibri"/>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29326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29328 M</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29348 M</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221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29413</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29414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29415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29416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29420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sz w:val="18"/>
                <w:szCs w:val="18"/>
                <w:lang w:val="sr-Latn-RS" w:eastAsia="sr-Latn-RS"/>
              </w:rPr>
              <w:t xml:space="preserve">Aksijalni cilindrično valjkasti ležajevi   </w:t>
            </w:r>
            <w:r w:rsidRPr="003C04B1">
              <w:rPr>
                <w:rFonts w:ascii="Calibri" w:hAnsi="Calibri"/>
                <w:sz w:val="18"/>
                <w:szCs w:val="18"/>
                <w:lang w:val="sr-Latn-RS" w:eastAsia="sr-Latn-RS"/>
              </w:rPr>
              <w:t xml:space="preserve">                                                                                                                                             Materijal prema standardu </w:t>
            </w:r>
            <w:r w:rsidRPr="003C04B1">
              <w:rPr>
                <w:rFonts w:ascii="Calibri" w:hAnsi="Calibri"/>
                <w:b/>
                <w:bCs/>
                <w:sz w:val="18"/>
                <w:szCs w:val="18"/>
                <w:lang w:val="sr-Latn-RS" w:eastAsia="sr-Latn-RS"/>
              </w:rPr>
              <w:t>SRPS EN ISO 683-17:2015</w:t>
            </w:r>
            <w:r w:rsidRPr="003C04B1">
              <w:rPr>
                <w:rFonts w:ascii="Calibri" w:hAnsi="Calibri"/>
                <w:sz w:val="18"/>
                <w:szCs w:val="18"/>
                <w:lang w:val="sr-Latn-RS" w:eastAsia="sr-Latn-RS"/>
              </w:rPr>
              <w:t xml:space="preserve"> ili ekvivalentnom           </w:t>
            </w:r>
            <w:r w:rsidRPr="003C04B1">
              <w:rPr>
                <w:rFonts w:ascii="Calibri" w:hAnsi="Calibri"/>
                <w:sz w:val="18"/>
                <w:szCs w:val="18"/>
                <w:lang w:val="sr-Latn-RS" w:eastAsia="sr-Latn-RS"/>
              </w:rPr>
              <w:br/>
              <w:t xml:space="preserve">                         Dimenzije prema standardu </w:t>
            </w:r>
            <w:r w:rsidRPr="003C04B1">
              <w:rPr>
                <w:rFonts w:ascii="Calibri" w:hAnsi="Calibri"/>
                <w:b/>
                <w:bCs/>
                <w:sz w:val="18"/>
                <w:szCs w:val="18"/>
                <w:lang w:val="sr-Latn-RS" w:eastAsia="sr-Latn-RS"/>
              </w:rPr>
              <w:t>SRPS ISO 104:2017</w:t>
            </w:r>
            <w:r w:rsidRPr="003C04B1">
              <w:rPr>
                <w:rFonts w:ascii="Calibri" w:hAnsi="Calibri"/>
                <w:sz w:val="18"/>
                <w:szCs w:val="18"/>
                <w:lang w:val="sr-Latn-RS" w:eastAsia="sr-Latn-RS"/>
              </w:rPr>
              <w:t xml:space="preserve">  ili ekvivalentnom                                                                                                                                                                                    Tolerancije prema standardu </w:t>
            </w:r>
            <w:r w:rsidRPr="003C04B1">
              <w:rPr>
                <w:rFonts w:ascii="Calibri" w:hAnsi="Calibri"/>
                <w:b/>
                <w:bCs/>
                <w:sz w:val="18"/>
                <w:szCs w:val="18"/>
                <w:lang w:val="sr-Latn-RS" w:eastAsia="sr-Latn-RS"/>
              </w:rPr>
              <w:t>SRPS ISO 199:2017</w:t>
            </w:r>
            <w:r w:rsidRPr="003C04B1">
              <w:rPr>
                <w:rFonts w:ascii="Calibri" w:hAnsi="Calibri"/>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81107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Aksijalni cilindrično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Konusno valjkastii ležajevi - metrička serija</w:t>
            </w:r>
            <w:r w:rsidRPr="003C04B1">
              <w:rPr>
                <w:rFonts w:ascii="Calibri" w:hAnsi="Calibri"/>
                <w:color w:val="000000"/>
                <w:sz w:val="18"/>
                <w:szCs w:val="18"/>
                <w:lang w:val="sr-Latn-RS" w:eastAsia="sr-Latn-RS"/>
              </w:rPr>
              <w:t xml:space="preserve">                                                                                                                                       Materijal prema standardu </w:t>
            </w:r>
            <w:r w:rsidRPr="003C04B1">
              <w:rPr>
                <w:rFonts w:ascii="Calibri" w:hAnsi="Calibri"/>
                <w:b/>
                <w:bCs/>
                <w:sz w:val="18"/>
                <w:szCs w:val="18"/>
                <w:lang w:val="sr-Latn-RS" w:eastAsia="sr-Latn-RS"/>
              </w:rPr>
              <w:t>SRPS EN ISO 683-17:2015</w:t>
            </w:r>
            <w:r w:rsidRPr="003C04B1">
              <w:rPr>
                <w:rFonts w:ascii="Calibri" w:hAnsi="Calibri"/>
                <w:color w:val="000000"/>
                <w:sz w:val="18"/>
                <w:szCs w:val="18"/>
                <w:lang w:val="sr-Latn-RS" w:eastAsia="sr-Latn-RS"/>
              </w:rPr>
              <w:t xml:space="preserve"> ili ekvivalentnom                                           Dimenzije prema standardu </w:t>
            </w:r>
            <w:r w:rsidRPr="003C04B1">
              <w:rPr>
                <w:rFonts w:ascii="Calibri" w:hAnsi="Calibri"/>
                <w:b/>
                <w:bCs/>
                <w:color w:val="000000"/>
                <w:sz w:val="18"/>
                <w:szCs w:val="18"/>
                <w:lang w:val="sr-Latn-RS" w:eastAsia="sr-Latn-RS"/>
              </w:rPr>
              <w:t xml:space="preserve">SRPS ISO 355:2015 </w:t>
            </w:r>
            <w:r w:rsidRPr="003C04B1">
              <w:rPr>
                <w:rFonts w:ascii="Calibri" w:hAnsi="Calibri"/>
                <w:color w:val="000000"/>
                <w:sz w:val="18"/>
                <w:szCs w:val="18"/>
                <w:lang w:val="sr-Latn-RS" w:eastAsia="sr-Latn-RS"/>
              </w:rPr>
              <w:t xml:space="preserve"> ili ekvivalentnom                                                                                                             </w:t>
            </w:r>
            <w:r w:rsidRPr="003C04B1">
              <w:rPr>
                <w:rFonts w:ascii="Calibri" w:hAnsi="Calibri"/>
                <w:sz w:val="18"/>
                <w:szCs w:val="18"/>
                <w:lang w:val="sr-Latn-RS" w:eastAsia="sr-Latn-RS"/>
              </w:rPr>
              <w:t xml:space="preserve">Tolerancije prema standardu </w:t>
            </w:r>
            <w:r w:rsidRPr="003C04B1">
              <w:rPr>
                <w:rFonts w:ascii="Calibri" w:hAnsi="Calibri"/>
                <w:b/>
                <w:bCs/>
                <w:sz w:val="18"/>
                <w:szCs w:val="18"/>
                <w:lang w:val="sr-Latn-RS" w:eastAsia="sr-Latn-RS"/>
              </w:rPr>
              <w:t>SRPS ISO 492:2015</w:t>
            </w:r>
            <w:r w:rsidRPr="003C04B1">
              <w:rPr>
                <w:rFonts w:ascii="Calibri" w:hAnsi="Calibri"/>
                <w:sz w:val="18"/>
                <w:szCs w:val="18"/>
                <w:lang w:val="sr-Latn-RS" w:eastAsia="sr-Latn-RS"/>
              </w:rPr>
              <w:t xml:space="preserve"> ili ekvivalentnom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30205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30206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30207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230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30209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30211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30304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30309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30314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31308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31311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31318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32206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242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32215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32218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32308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32310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249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32318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Cilindrično valjkasti ležajevi </w:t>
            </w:r>
            <w:r w:rsidRPr="003C04B1">
              <w:rPr>
                <w:rFonts w:ascii="Calibri" w:hAnsi="Calibri"/>
                <w:color w:val="000000"/>
                <w:sz w:val="18"/>
                <w:szCs w:val="18"/>
                <w:lang w:val="sr-Latn-RS" w:eastAsia="sr-Latn-RS"/>
              </w:rPr>
              <w:t xml:space="preserve">                                                                                                                           Materijal prema standardu </w:t>
            </w:r>
            <w:r w:rsidRPr="003C04B1">
              <w:rPr>
                <w:rFonts w:ascii="Calibri" w:hAnsi="Calibri"/>
                <w:b/>
                <w:bCs/>
                <w:color w:val="000000"/>
                <w:sz w:val="18"/>
                <w:szCs w:val="18"/>
                <w:lang w:val="sr-Latn-RS" w:eastAsia="sr-Latn-RS"/>
              </w:rPr>
              <w:t>SRPS EN ISO 683-17:2015</w:t>
            </w:r>
            <w:r w:rsidRPr="003C04B1">
              <w:rPr>
                <w:rFonts w:ascii="Calibri" w:hAnsi="Calibri"/>
                <w:color w:val="000000"/>
                <w:sz w:val="18"/>
                <w:szCs w:val="18"/>
                <w:lang w:val="sr-Latn-RS" w:eastAsia="sr-Latn-RS"/>
              </w:rPr>
              <w:t xml:space="preserve"> ili ekvivalentnom                                                </w:t>
            </w:r>
            <w:r w:rsidRPr="003C04B1">
              <w:rPr>
                <w:rFonts w:ascii="Calibri" w:hAnsi="Calibri"/>
                <w:sz w:val="18"/>
                <w:szCs w:val="18"/>
                <w:lang w:val="sr-Latn-RS" w:eastAsia="sr-Latn-RS"/>
              </w:rPr>
              <w:t xml:space="preserve">Dimenzije prema standardu </w:t>
            </w:r>
            <w:r w:rsidRPr="003C04B1">
              <w:rPr>
                <w:rFonts w:ascii="Calibri" w:hAnsi="Calibri"/>
                <w:b/>
                <w:bCs/>
                <w:sz w:val="18"/>
                <w:szCs w:val="18"/>
                <w:lang w:val="sr-Latn-RS" w:eastAsia="sr-Latn-RS"/>
              </w:rPr>
              <w:t>SRPS ISO 15:2015</w:t>
            </w:r>
            <w:r w:rsidRPr="003C04B1">
              <w:rPr>
                <w:rFonts w:ascii="Calibri" w:hAnsi="Calibri"/>
                <w:sz w:val="18"/>
                <w:szCs w:val="18"/>
                <w:lang w:val="sr-Latn-RS" w:eastAsia="sr-Latn-RS"/>
              </w:rPr>
              <w:t xml:space="preserve">  odnosno </w:t>
            </w:r>
            <w:r w:rsidRPr="003C04B1">
              <w:rPr>
                <w:rFonts w:ascii="Calibri" w:hAnsi="Calibri"/>
                <w:b/>
                <w:bCs/>
                <w:sz w:val="18"/>
                <w:szCs w:val="18"/>
                <w:lang w:val="sr-Latn-RS" w:eastAsia="sr-Latn-RS"/>
              </w:rPr>
              <w:t>DIN 5412-1</w:t>
            </w:r>
            <w:r w:rsidRPr="003C04B1">
              <w:rPr>
                <w:rFonts w:ascii="Calibri" w:hAnsi="Calibri"/>
                <w:sz w:val="18"/>
                <w:szCs w:val="18"/>
                <w:lang w:val="sr-Latn-RS" w:eastAsia="sr-Latn-RS"/>
              </w:rPr>
              <w:t xml:space="preserve"> za E konstrukciju ili ekvivalentnom     </w:t>
            </w:r>
            <w:r w:rsidRPr="003C04B1">
              <w:rPr>
                <w:rFonts w:ascii="Calibri" w:hAnsi="Calibri"/>
                <w:color w:val="FF0000"/>
                <w:sz w:val="18"/>
                <w:szCs w:val="18"/>
                <w:lang w:val="sr-Latn-RS" w:eastAsia="sr-Latn-RS"/>
              </w:rPr>
              <w:t xml:space="preserve">                                                                                                                                                           </w:t>
            </w:r>
            <w:r w:rsidRPr="003C04B1">
              <w:rPr>
                <w:rFonts w:ascii="Calibri" w:hAnsi="Calibri"/>
                <w:sz w:val="18"/>
                <w:szCs w:val="18"/>
                <w:lang w:val="sr-Latn-RS" w:eastAsia="sr-Latn-RS"/>
              </w:rPr>
              <w:t xml:space="preserve">Radijalni unutrašnji zazor prema standardu </w:t>
            </w:r>
            <w:r w:rsidRPr="003C04B1">
              <w:rPr>
                <w:rFonts w:ascii="Calibri" w:hAnsi="Calibri"/>
                <w:b/>
                <w:bCs/>
                <w:sz w:val="18"/>
                <w:szCs w:val="18"/>
                <w:lang w:val="sr-Latn-RS" w:eastAsia="sr-Latn-RS"/>
              </w:rPr>
              <w:t>SRPS ISO 5753-1:2015</w:t>
            </w:r>
            <w:r w:rsidRPr="003C04B1">
              <w:rPr>
                <w:rFonts w:ascii="Calibri" w:hAnsi="Calibri"/>
                <w:sz w:val="18"/>
                <w:szCs w:val="18"/>
                <w:lang w:val="sr-Latn-RS" w:eastAsia="sr-Latn-RS"/>
              </w:rPr>
              <w:t xml:space="preserve"> ili ekvivalentnom                    Tolerancije prema standardu </w:t>
            </w:r>
            <w:r w:rsidRPr="003C04B1">
              <w:rPr>
                <w:rFonts w:ascii="Calibri" w:hAnsi="Calibri"/>
                <w:b/>
                <w:bCs/>
                <w:sz w:val="18"/>
                <w:szCs w:val="18"/>
                <w:lang w:val="sr-Latn-RS" w:eastAsia="sr-Latn-RS"/>
              </w:rPr>
              <w:t>SRPS ISO 492:2015</w:t>
            </w:r>
            <w:r w:rsidRPr="003C04B1">
              <w:rPr>
                <w:rFonts w:ascii="Calibri" w:hAnsi="Calibri"/>
                <w:sz w:val="18"/>
                <w:szCs w:val="18"/>
                <w:lang w:val="sr-Latn-RS" w:eastAsia="sr-Latn-RS"/>
              </w:rPr>
              <w:t xml:space="preserve"> ili ekvivalentnom          </w:t>
            </w:r>
            <w:r w:rsidRPr="003C04B1">
              <w:rPr>
                <w:rFonts w:ascii="Calibri" w:hAnsi="Calibri"/>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250</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NU 206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NU 208 E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252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208 E KC3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216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226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230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305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306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307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259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308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309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311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313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314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264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315 EM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316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317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xml:space="preserve">NU 320 E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269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NU 320 E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321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332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338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NU 409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NU 1008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NU 1011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276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2248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nil"/>
              <w:right w:val="single" w:sz="4" w:space="0" w:color="auto"/>
            </w:tcBorders>
            <w:shd w:val="clear" w:color="000000" w:fill="FFFFFF"/>
            <w:vAlign w:val="center"/>
            <w:hideMark/>
          </w:tcPr>
          <w:p w:rsidR="003C04B1" w:rsidRPr="003C04B1" w:rsidRDefault="003C04B1" w:rsidP="003C04B1">
            <w:pPr>
              <w:suppressAutoHyphens w:val="0"/>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 2318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NU 2320 E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279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NU 2320 E MC4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306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308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311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321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2222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NJ 2318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287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NUP 308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288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NUP 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C04B1" w:rsidRPr="003C04B1" w:rsidRDefault="003C04B1" w:rsidP="003C04B1">
            <w:pPr>
              <w:suppressAutoHyphens w:val="0"/>
              <w:jc w:val="center"/>
              <w:rPr>
                <w:rFonts w:ascii="Calibri" w:hAnsi="Calibri"/>
                <w:sz w:val="18"/>
                <w:szCs w:val="18"/>
                <w:lang w:val="sr-Latn-RS" w:eastAsia="sr-Latn-RS"/>
              </w:rPr>
            </w:pPr>
            <w:r w:rsidRPr="003C04B1">
              <w:rPr>
                <w:rFonts w:ascii="Calibri" w:hAnsi="Calibri"/>
                <w:b/>
                <w:bCs/>
                <w:sz w:val="18"/>
                <w:szCs w:val="18"/>
                <w:lang w:val="sr-Latn-RS" w:eastAsia="sr-Latn-RS"/>
              </w:rPr>
              <w:t xml:space="preserve">Igličasti jednoredni ležajevi   </w:t>
            </w:r>
            <w:r w:rsidRPr="003C04B1">
              <w:rPr>
                <w:rFonts w:ascii="Calibri" w:hAnsi="Calibri"/>
                <w:sz w:val="18"/>
                <w:szCs w:val="18"/>
                <w:lang w:val="sr-Latn-RS" w:eastAsia="sr-Latn-RS"/>
              </w:rPr>
              <w:t xml:space="preserve">                                                                                                                                             Materijal prema standardu </w:t>
            </w:r>
            <w:r w:rsidRPr="003C04B1">
              <w:rPr>
                <w:rFonts w:ascii="Calibri" w:hAnsi="Calibri"/>
                <w:b/>
                <w:bCs/>
                <w:sz w:val="18"/>
                <w:szCs w:val="18"/>
                <w:lang w:val="sr-Latn-RS" w:eastAsia="sr-Latn-RS"/>
              </w:rPr>
              <w:t>SRPS EN ISO 683-17:2015</w:t>
            </w:r>
            <w:r w:rsidRPr="003C04B1">
              <w:rPr>
                <w:rFonts w:ascii="Calibri" w:hAnsi="Calibri"/>
                <w:sz w:val="18"/>
                <w:szCs w:val="18"/>
                <w:lang w:val="sr-Latn-RS" w:eastAsia="sr-Latn-RS"/>
              </w:rPr>
              <w:t xml:space="preserve"> ili ekvivalentnom           </w:t>
            </w:r>
            <w:r w:rsidRPr="003C04B1">
              <w:rPr>
                <w:rFonts w:ascii="Calibri" w:hAnsi="Calibri"/>
                <w:sz w:val="18"/>
                <w:szCs w:val="18"/>
                <w:lang w:val="sr-Latn-RS" w:eastAsia="sr-Latn-RS"/>
              </w:rPr>
              <w:br/>
              <w:t xml:space="preserve">                         Dimenzije prema standardu </w:t>
            </w:r>
            <w:r w:rsidRPr="003C04B1">
              <w:rPr>
                <w:rFonts w:ascii="Calibri" w:hAnsi="Calibri"/>
                <w:b/>
                <w:bCs/>
                <w:sz w:val="18"/>
                <w:szCs w:val="18"/>
                <w:lang w:val="sr-Latn-RS" w:eastAsia="sr-Latn-RS"/>
              </w:rPr>
              <w:t>SRPS ISO 1206:2015</w:t>
            </w:r>
            <w:r w:rsidRPr="003C04B1">
              <w:rPr>
                <w:rFonts w:ascii="Calibri" w:hAnsi="Calibri"/>
                <w:sz w:val="18"/>
                <w:szCs w:val="18"/>
                <w:lang w:val="sr-Latn-RS" w:eastAsia="sr-Latn-RS"/>
              </w:rPr>
              <w:t xml:space="preserve">  ili ekvivalentnom                                                                                                                                                                Radijalni unutrašnji zazor prema standardu </w:t>
            </w:r>
            <w:r w:rsidRPr="003C04B1">
              <w:rPr>
                <w:rFonts w:ascii="Calibri" w:hAnsi="Calibri"/>
                <w:b/>
                <w:bCs/>
                <w:sz w:val="18"/>
                <w:szCs w:val="18"/>
                <w:lang w:val="sr-Latn-RS" w:eastAsia="sr-Latn-RS"/>
              </w:rPr>
              <w:t>SRPS ISO 5753-1:2015</w:t>
            </w:r>
            <w:r w:rsidRPr="003C04B1">
              <w:rPr>
                <w:rFonts w:ascii="Calibri" w:hAnsi="Calibri"/>
                <w:sz w:val="18"/>
                <w:szCs w:val="18"/>
                <w:lang w:val="sr-Latn-RS" w:eastAsia="sr-Latn-RS"/>
              </w:rPr>
              <w:t xml:space="preserve"> ili ekvivalentnom                    Tolerancije prema standardu </w:t>
            </w:r>
            <w:r w:rsidRPr="003C04B1">
              <w:rPr>
                <w:rFonts w:ascii="Calibri" w:hAnsi="Calibri"/>
                <w:b/>
                <w:bCs/>
                <w:sz w:val="18"/>
                <w:szCs w:val="18"/>
                <w:lang w:val="sr-Latn-RS" w:eastAsia="sr-Latn-RS"/>
              </w:rPr>
              <w:t>SRPS ISO 492:2015</w:t>
            </w:r>
            <w:r w:rsidRPr="003C04B1">
              <w:rPr>
                <w:rFonts w:ascii="Calibri" w:hAnsi="Calibri"/>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289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NA 4916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Jednoredni igličasti ležaj  (sa ramenima)                 sa unutarnjim prstenom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290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NKJS 55A</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Jednoredni igličasti ležaj  (sa ramenima)                 sa unutarnjim prstenom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sz w:val="18"/>
                <w:szCs w:val="18"/>
                <w:lang w:val="sr-Latn-RS" w:eastAsia="sr-Latn-RS"/>
              </w:rPr>
            </w:pPr>
            <w:r w:rsidRPr="003C04B1">
              <w:rPr>
                <w:rFonts w:ascii="Calibri" w:hAnsi="Calibri"/>
                <w:b/>
                <w:bCs/>
                <w:sz w:val="18"/>
                <w:szCs w:val="18"/>
                <w:lang w:val="sr-Latn-RS" w:eastAsia="sr-Latn-RS"/>
              </w:rPr>
              <w:t xml:space="preserve">Igličasti dvoredni ležajevi   </w:t>
            </w:r>
            <w:r w:rsidRPr="003C04B1">
              <w:rPr>
                <w:rFonts w:ascii="Calibri" w:hAnsi="Calibri"/>
                <w:sz w:val="18"/>
                <w:szCs w:val="18"/>
                <w:lang w:val="sr-Latn-RS" w:eastAsia="sr-Latn-RS"/>
              </w:rPr>
              <w:t xml:space="preserve">                                                                                                                                             Materijal prema standardu SRPS EN ISO 683-17:2015 ili ekvivalentnom                                                                                                                                                               Radijalni unutrašnji zazor prema standardu SRPS ISO 5753-1:2015 ili ekvivalentnom                    Tolerancije prema standardu SRPS ISO 492:2015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291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NAO 25X42X32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Dvoredni igličasti ležaj (bez ramena) sa unutarnjim prstenom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nil"/>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xml:space="preserve">Dimenzione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r>
      <w:tr w:rsidR="003C04B1" w:rsidRPr="003C04B1" w:rsidTr="003C04B1">
        <w:trPr>
          <w:trHeight w:val="18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sz w:val="18"/>
                <w:szCs w:val="18"/>
                <w:lang w:val="sr-Latn-RS" w:eastAsia="sr-Latn-RS"/>
              </w:rPr>
            </w:pPr>
            <w:r w:rsidRPr="003C04B1">
              <w:rPr>
                <w:rFonts w:ascii="Calibri" w:hAnsi="Calibri"/>
                <w:b/>
                <w:bCs/>
                <w:sz w:val="18"/>
                <w:szCs w:val="18"/>
                <w:lang w:val="sr-Latn-RS" w:eastAsia="sr-Latn-RS"/>
              </w:rPr>
              <w:t xml:space="preserve">Bačvasti - buričasti jednoredni ležajevi  </w:t>
            </w:r>
            <w:r w:rsidRPr="003C04B1">
              <w:rPr>
                <w:rFonts w:ascii="Calibri" w:hAnsi="Calibri"/>
                <w:sz w:val="18"/>
                <w:szCs w:val="18"/>
                <w:lang w:val="sr-Latn-RS" w:eastAsia="sr-Latn-RS"/>
              </w:rPr>
              <w:t xml:space="preserve">                                                                                                  Materijal prema standardu </w:t>
            </w:r>
            <w:r w:rsidRPr="003C04B1">
              <w:rPr>
                <w:rFonts w:ascii="Calibri" w:hAnsi="Calibri"/>
                <w:b/>
                <w:bCs/>
                <w:sz w:val="18"/>
                <w:szCs w:val="18"/>
                <w:lang w:val="sr-Latn-RS" w:eastAsia="sr-Latn-RS"/>
              </w:rPr>
              <w:t>SRPS EN ISO 683-17:2015</w:t>
            </w:r>
            <w:r w:rsidRPr="003C04B1">
              <w:rPr>
                <w:rFonts w:ascii="Calibri" w:hAnsi="Calibri"/>
                <w:sz w:val="18"/>
                <w:szCs w:val="18"/>
                <w:lang w:val="sr-Latn-RS" w:eastAsia="sr-Latn-RS"/>
              </w:rPr>
              <w:t xml:space="preserve"> ili ekvivalentnom                                                              Dimenzije prema standardu </w:t>
            </w:r>
            <w:r w:rsidRPr="003C04B1">
              <w:rPr>
                <w:rFonts w:ascii="Calibri" w:hAnsi="Calibri"/>
                <w:b/>
                <w:bCs/>
                <w:sz w:val="18"/>
                <w:szCs w:val="18"/>
                <w:lang w:val="sr-Latn-RS" w:eastAsia="sr-Latn-RS"/>
              </w:rPr>
              <w:t xml:space="preserve"> SRPS ISO 15:2015 odnosno DIN 635-1</w:t>
            </w:r>
            <w:r w:rsidRPr="003C04B1">
              <w:rPr>
                <w:rFonts w:ascii="Calibri" w:hAnsi="Calibri"/>
                <w:sz w:val="18"/>
                <w:szCs w:val="18"/>
                <w:lang w:val="sr-Latn-RS" w:eastAsia="sr-Latn-RS"/>
              </w:rPr>
              <w:t xml:space="preserve"> ili ekvivalentnom                                                                                                                                             Tolerancije prema standardu </w:t>
            </w:r>
            <w:r w:rsidRPr="003C04B1">
              <w:rPr>
                <w:rFonts w:ascii="Calibri" w:hAnsi="Calibri"/>
                <w:b/>
                <w:bCs/>
                <w:sz w:val="18"/>
                <w:szCs w:val="18"/>
                <w:lang w:val="sr-Latn-RS" w:eastAsia="sr-Latn-RS"/>
              </w:rPr>
              <w:t>SRPS ISO 492:2015 odnosno DIN 620-2</w:t>
            </w:r>
            <w:r w:rsidRPr="003C04B1">
              <w:rPr>
                <w:rFonts w:ascii="Calibri" w:hAnsi="Calibri"/>
                <w:sz w:val="18"/>
                <w:szCs w:val="18"/>
                <w:lang w:val="sr-Latn-RS" w:eastAsia="sr-Latn-RS"/>
              </w:rPr>
              <w:t xml:space="preserve"> ili ekvivalentnom                                      Radijalni unutarnji zazor prema standardu </w:t>
            </w:r>
            <w:r w:rsidRPr="003C04B1">
              <w:rPr>
                <w:rFonts w:ascii="Calibri" w:hAnsi="Calibri"/>
                <w:b/>
                <w:bCs/>
                <w:sz w:val="18"/>
                <w:szCs w:val="18"/>
                <w:lang w:val="sr-Latn-RS" w:eastAsia="sr-Latn-RS"/>
              </w:rPr>
              <w:t>SRPS ISO 5753-1:2015 odnosno DIN 620-4</w:t>
            </w:r>
            <w:r w:rsidRPr="003C04B1">
              <w:rPr>
                <w:rFonts w:ascii="Calibri" w:hAnsi="Calibri"/>
                <w:sz w:val="18"/>
                <w:szCs w:val="18"/>
                <w:lang w:val="sr-Latn-RS" w:eastAsia="sr-Latn-RS"/>
              </w:rPr>
              <w:t xml:space="preserve"> ili ekvivalentnom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96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292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20217 KMC3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Bačvasti - buričasti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r>
      <w:tr w:rsidR="003C04B1" w:rsidRPr="003C04B1" w:rsidTr="003C04B1">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Bačvasti - buričasti dvoredni ležajevi sa ČELIČNIM kavezom</w:t>
            </w:r>
            <w:r w:rsidRPr="003C04B1">
              <w:rPr>
                <w:rFonts w:ascii="Calibri" w:hAnsi="Calibri"/>
                <w:color w:val="000000"/>
                <w:sz w:val="18"/>
                <w:szCs w:val="18"/>
                <w:lang w:val="sr-Latn-RS" w:eastAsia="sr-Latn-RS"/>
              </w:rPr>
              <w:t xml:space="preserve">                                                                         Materijal prema standardu SRPS EN ISO 683-17:2015 ili ekvivalentnom                                                                         </w:t>
            </w:r>
            <w:r w:rsidRPr="003C04B1">
              <w:rPr>
                <w:rFonts w:ascii="Calibri" w:hAnsi="Calibri"/>
                <w:sz w:val="18"/>
                <w:szCs w:val="18"/>
                <w:lang w:val="sr-Latn-RS" w:eastAsia="sr-Latn-RS"/>
              </w:rPr>
              <w:t xml:space="preserve">Dimenzije prema standardu </w:t>
            </w:r>
            <w:r w:rsidRPr="003C04B1">
              <w:rPr>
                <w:rFonts w:ascii="Calibri" w:hAnsi="Calibri"/>
                <w:b/>
                <w:bCs/>
                <w:sz w:val="18"/>
                <w:szCs w:val="18"/>
                <w:lang w:val="sr-Latn-RS" w:eastAsia="sr-Latn-RS"/>
              </w:rPr>
              <w:t xml:space="preserve">SRPS ISO 15:2015 </w:t>
            </w:r>
            <w:r w:rsidRPr="003C04B1">
              <w:rPr>
                <w:rFonts w:ascii="Calibri" w:hAnsi="Calibri"/>
                <w:sz w:val="18"/>
                <w:szCs w:val="18"/>
                <w:lang w:val="sr-Latn-RS" w:eastAsia="sr-Latn-RS"/>
              </w:rPr>
              <w:t xml:space="preserve"> ili ekvivalentnom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w:t>
            </w:r>
            <w:r w:rsidRPr="003C04B1">
              <w:rPr>
                <w:rFonts w:ascii="Calibri" w:hAnsi="Calibri"/>
                <w:sz w:val="18"/>
                <w:szCs w:val="18"/>
                <w:lang w:val="sr-Latn-RS" w:eastAsia="sr-Latn-RS"/>
              </w:rPr>
              <w:t xml:space="preserve">Tolerancije prema standardu </w:t>
            </w:r>
            <w:r w:rsidRPr="003C04B1">
              <w:rPr>
                <w:rFonts w:ascii="Calibri" w:hAnsi="Calibri"/>
                <w:b/>
                <w:bCs/>
                <w:sz w:val="18"/>
                <w:szCs w:val="18"/>
                <w:lang w:val="sr-Latn-RS" w:eastAsia="sr-Latn-RS"/>
              </w:rPr>
              <w:t>SRPS ISO 492:2015</w:t>
            </w:r>
            <w:r w:rsidRPr="003C04B1">
              <w:rPr>
                <w:rFonts w:ascii="Calibri" w:hAnsi="Calibri"/>
                <w:sz w:val="18"/>
                <w:szCs w:val="18"/>
                <w:lang w:val="sr-Latn-RS" w:eastAsia="sr-Latn-RS"/>
              </w:rPr>
              <w:t xml:space="preserve"> ili ekvivalentnom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ili ekvivalentnom                                            </w:t>
            </w:r>
          </w:p>
        </w:tc>
        <w:tc>
          <w:tcPr>
            <w:tcW w:w="1843" w:type="dxa"/>
            <w:tcBorders>
              <w:top w:val="nil"/>
              <w:left w:val="nil"/>
              <w:bottom w:val="single" w:sz="4" w:space="0" w:color="auto"/>
              <w:right w:val="single" w:sz="4" w:space="0" w:color="auto"/>
            </w:tcBorders>
            <w:shd w:val="clear" w:color="000000" w:fill="FFFFFF"/>
            <w:hideMark/>
          </w:tcPr>
          <w:p w:rsidR="003C04B1" w:rsidRPr="003C04B1" w:rsidRDefault="003C04B1" w:rsidP="003C04B1">
            <w:pPr>
              <w:suppressAutoHyphens w:val="0"/>
              <w:rPr>
                <w:rFonts w:ascii="Calibri" w:hAnsi="Calibri"/>
                <w:color w:val="000000"/>
                <w:sz w:val="18"/>
                <w:szCs w:val="18"/>
                <w:lang w:val="sr-Latn-RS" w:eastAsia="sr-Latn-RS"/>
              </w:rPr>
            </w:pPr>
            <w:r w:rsidRPr="003C04B1">
              <w:rPr>
                <w:rFonts w:ascii="Calibri" w:hAnsi="Calibri"/>
                <w:color w:val="000000"/>
                <w:sz w:val="18"/>
                <w:szCs w:val="18"/>
                <w:lang w:val="sr-Latn-RS" w:eastAsia="sr-Latn-RS"/>
              </w:rPr>
              <w:t> </w:t>
            </w:r>
          </w:p>
        </w:tc>
        <w:tc>
          <w:tcPr>
            <w:tcW w:w="1417" w:type="dxa"/>
            <w:tcBorders>
              <w:top w:val="nil"/>
              <w:left w:val="nil"/>
              <w:bottom w:val="single" w:sz="4" w:space="0" w:color="auto"/>
              <w:right w:val="single" w:sz="4" w:space="0" w:color="auto"/>
            </w:tcBorders>
            <w:shd w:val="clear" w:color="000000" w:fill="FFFFFF"/>
            <w:hideMark/>
          </w:tcPr>
          <w:p w:rsidR="003C04B1" w:rsidRPr="003C04B1" w:rsidRDefault="003C04B1" w:rsidP="003C04B1">
            <w:pPr>
              <w:suppressAutoHyphens w:val="0"/>
              <w:rPr>
                <w:rFonts w:ascii="Calibri" w:hAnsi="Calibri"/>
                <w:color w:val="000000"/>
                <w:sz w:val="18"/>
                <w:szCs w:val="18"/>
                <w:lang w:val="sr-Latn-RS" w:eastAsia="sr-Latn-RS"/>
              </w:rPr>
            </w:pPr>
            <w:r w:rsidRPr="003C04B1">
              <w:rPr>
                <w:rFonts w:ascii="Calibri" w:hAnsi="Calibri"/>
                <w:color w:val="000000"/>
                <w:sz w:val="18"/>
                <w:szCs w:val="18"/>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293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21320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22210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299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22211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22213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22215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305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22219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309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22220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22224 K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22228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317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319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22322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22324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22334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326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23032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Ležaj mora imati kružni žljeb sa otvorima za podmazivanje na spoljnom prstenu</w:t>
            </w:r>
          </w:p>
        </w:tc>
      </w:tr>
      <w:tr w:rsidR="003C04B1" w:rsidRPr="003C04B1" w:rsidTr="003C04B1">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Bačvasti - buričasti dvoredni ležajevi sa MESINGANIM kavezom </w:t>
            </w:r>
            <w:r w:rsidRPr="003C04B1">
              <w:rPr>
                <w:rFonts w:ascii="Calibri" w:hAnsi="Calibri"/>
                <w:color w:val="000000"/>
                <w:sz w:val="18"/>
                <w:szCs w:val="18"/>
                <w:lang w:val="sr-Latn-RS" w:eastAsia="sr-Latn-RS"/>
              </w:rPr>
              <w:t xml:space="preserve">                                                                Materijal prema standardu SRPS EN ISO 683-17:2015 ili ekvivalentnom                                                                         </w:t>
            </w:r>
            <w:r w:rsidRPr="003C04B1">
              <w:rPr>
                <w:rFonts w:ascii="Calibri" w:hAnsi="Calibri"/>
                <w:sz w:val="18"/>
                <w:szCs w:val="18"/>
                <w:lang w:val="sr-Latn-RS" w:eastAsia="sr-Latn-RS"/>
              </w:rPr>
              <w:t xml:space="preserve">Dimenzije prema standardu </w:t>
            </w:r>
            <w:r w:rsidRPr="003C04B1">
              <w:rPr>
                <w:rFonts w:ascii="Calibri" w:hAnsi="Calibri"/>
                <w:b/>
                <w:bCs/>
                <w:sz w:val="18"/>
                <w:szCs w:val="18"/>
                <w:lang w:val="sr-Latn-RS" w:eastAsia="sr-Latn-RS"/>
              </w:rPr>
              <w:t xml:space="preserve">SRPS ISO 15:2015 </w:t>
            </w:r>
            <w:r w:rsidRPr="003C04B1">
              <w:rPr>
                <w:rFonts w:ascii="Calibri" w:hAnsi="Calibri"/>
                <w:sz w:val="18"/>
                <w:szCs w:val="18"/>
                <w:lang w:val="sr-Latn-RS" w:eastAsia="sr-Latn-RS"/>
              </w:rPr>
              <w:t xml:space="preserve"> ili ekvivalentnom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w:t>
            </w:r>
            <w:r w:rsidRPr="003C04B1">
              <w:rPr>
                <w:rFonts w:ascii="Calibri" w:hAnsi="Calibri"/>
                <w:sz w:val="18"/>
                <w:szCs w:val="18"/>
                <w:lang w:val="sr-Latn-RS" w:eastAsia="sr-Latn-RS"/>
              </w:rPr>
              <w:t xml:space="preserve">Tolerancije prema standardu </w:t>
            </w:r>
            <w:r w:rsidRPr="003C04B1">
              <w:rPr>
                <w:rFonts w:ascii="Calibri" w:hAnsi="Calibri"/>
                <w:b/>
                <w:bCs/>
                <w:sz w:val="18"/>
                <w:szCs w:val="18"/>
                <w:lang w:val="sr-Latn-RS" w:eastAsia="sr-Latn-RS"/>
              </w:rPr>
              <w:t>SRPS ISO 492:2015</w:t>
            </w:r>
            <w:r w:rsidRPr="003C04B1">
              <w:rPr>
                <w:rFonts w:ascii="Calibri" w:hAnsi="Calibri"/>
                <w:sz w:val="18"/>
                <w:szCs w:val="18"/>
                <w:lang w:val="sr-Latn-RS" w:eastAsia="sr-Latn-RS"/>
              </w:rPr>
              <w:t xml:space="preserve"> ili ekvivalentnom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Radijalni unutrašnji zazor prema standardu </w:t>
            </w:r>
            <w:r w:rsidRPr="003C04B1">
              <w:rPr>
                <w:rFonts w:ascii="Calibri" w:hAnsi="Calibri"/>
                <w:b/>
                <w:bCs/>
                <w:color w:val="000000"/>
                <w:sz w:val="18"/>
                <w:szCs w:val="18"/>
                <w:lang w:val="sr-Latn-RS" w:eastAsia="sr-Latn-RS"/>
              </w:rPr>
              <w:t>SRPS ISO 5753-1:2015</w:t>
            </w:r>
            <w:r w:rsidRPr="003C04B1">
              <w:rPr>
                <w:rFonts w:ascii="Calibri" w:hAnsi="Calibri"/>
                <w:color w:val="000000"/>
                <w:sz w:val="18"/>
                <w:szCs w:val="18"/>
                <w:lang w:val="sr-Latn-RS" w:eastAsia="sr-Latn-RS"/>
              </w:rPr>
              <w:t xml:space="preserve"> ili ekvivalentnom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lastRenderedPageBreak/>
              <w:t>327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22330 KMC3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328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22340 KMC3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Ležaj mora imati kružni žljeb sa otvorima za podmazivanje na spoljnom prstenu</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329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23044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Ležaj mora imati kružni žljeb sa otvorima za podmazivanje na spoljnom prstenu</w:t>
            </w:r>
          </w:p>
        </w:tc>
      </w:tr>
      <w:tr w:rsidR="003C04B1" w:rsidRPr="003C04B1" w:rsidTr="003C04B1">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8"/>
                <w:szCs w:val="18"/>
                <w:lang w:val="sr-Latn-RS" w:eastAsia="sr-Latn-RS"/>
              </w:rPr>
            </w:pPr>
            <w:r w:rsidRPr="003C04B1">
              <w:rPr>
                <w:rFonts w:ascii="Calibri" w:hAnsi="Calibri"/>
                <w:b/>
                <w:bCs/>
                <w:color w:val="000000"/>
                <w:sz w:val="18"/>
                <w:szCs w:val="18"/>
                <w:lang w:val="sr-Latn-RS" w:eastAsia="sr-Latn-RS"/>
              </w:rPr>
              <w:t xml:space="preserve">Aksijalni igličasti ležajevi i odgovarajuće podloške                                                                            </w:t>
            </w:r>
            <w:r w:rsidRPr="003C04B1">
              <w:rPr>
                <w:rFonts w:ascii="Calibri" w:hAnsi="Calibri"/>
                <w:b/>
                <w:bCs/>
                <w:color w:val="000000"/>
                <w:sz w:val="18"/>
                <w:szCs w:val="18"/>
                <w:lang w:val="sr-Latn-RS" w:eastAsia="sr-Latn-RS"/>
              </w:rPr>
              <w:br/>
              <w:t xml:space="preserve">Materijal prema standardu SRPS EN ISO 683-17:2015 ili ekvivalentnom                                              </w:t>
            </w:r>
            <w:r w:rsidRPr="003C04B1">
              <w:rPr>
                <w:rFonts w:ascii="Calibri" w:hAnsi="Calibri"/>
                <w:b/>
                <w:bCs/>
                <w:sz w:val="18"/>
                <w:szCs w:val="18"/>
                <w:lang w:val="sr-Latn-RS" w:eastAsia="sr-Latn-RS"/>
              </w:rPr>
              <w:t xml:space="preserve">Dimenzije i tolerancije prema standardima ISO 3031, ISO 3096, DIN 5405-2, DIN 5405-3  ili ekvivalentnom                                                              </w:t>
            </w:r>
            <w:r w:rsidRPr="003C04B1">
              <w:rPr>
                <w:rFonts w:ascii="Calibri" w:hAnsi="Calibri"/>
                <w:b/>
                <w:bCs/>
                <w:color w:val="FF0000"/>
                <w:sz w:val="18"/>
                <w:szCs w:val="18"/>
                <w:lang w:val="sr-Latn-RS" w:eastAsia="sr-Latn-RS"/>
              </w:rPr>
              <w:t xml:space="preserve">                                                                     </w:t>
            </w:r>
            <w:r w:rsidRPr="003C04B1">
              <w:rPr>
                <w:rFonts w:ascii="Calibri" w:hAnsi="Calibri"/>
                <w:b/>
                <w:bCs/>
                <w:color w:val="000000"/>
                <w:sz w:val="18"/>
                <w:szCs w:val="18"/>
                <w:lang w:val="sr-Latn-RS" w:eastAsia="sr-Latn-RS"/>
              </w:rPr>
              <w:t xml:space="preserve">          </w:t>
            </w:r>
            <w:r w:rsidRPr="003C04B1">
              <w:rPr>
                <w:rFonts w:ascii="Calibri" w:hAnsi="Calibri"/>
                <w:b/>
                <w:bCs/>
                <w:color w:val="FF0000"/>
                <w:sz w:val="18"/>
                <w:szCs w:val="18"/>
                <w:lang w:val="sr-Latn-RS" w:eastAsia="sr-Latn-RS"/>
              </w:rPr>
              <w:t xml:space="preserve">   </w:t>
            </w:r>
            <w:r w:rsidRPr="003C04B1">
              <w:rPr>
                <w:rFonts w:ascii="Calibri" w:hAnsi="Calibri"/>
                <w:b/>
                <w:bCs/>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330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AXK 3552+2*ls3552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Aksijalni igličasti ležaj sa pripadajućim podloškama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 </w:t>
            </w:r>
          </w:p>
        </w:tc>
      </w:tr>
      <w:tr w:rsidR="003C04B1" w:rsidRPr="003C04B1" w:rsidTr="003C04B1">
        <w:trPr>
          <w:trHeight w:val="85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b/>
                <w:bCs/>
                <w:color w:val="000000"/>
                <w:sz w:val="18"/>
                <w:szCs w:val="18"/>
                <w:lang w:val="sr-Latn-RS" w:eastAsia="sr-Latn-RS"/>
              </w:rPr>
            </w:pPr>
            <w:r w:rsidRPr="003C04B1">
              <w:rPr>
                <w:rFonts w:ascii="Calibri" w:hAnsi="Calibri"/>
                <w:b/>
                <w:bCs/>
                <w:color w:val="000000"/>
                <w:sz w:val="18"/>
                <w:szCs w:val="18"/>
                <w:lang w:val="sr-Latn-RS" w:eastAsia="sr-Latn-RS"/>
              </w:rPr>
              <w:t xml:space="preserve">Sferni klizni ležajevi dimenzione serije E                                                                                                    Kontaktne površine - čelik na čelik                                                                                                                         </w:t>
            </w:r>
            <w:r w:rsidRPr="003C04B1">
              <w:rPr>
                <w:rFonts w:ascii="Calibri" w:hAnsi="Calibri"/>
                <w:b/>
                <w:bCs/>
                <w:sz w:val="18"/>
                <w:szCs w:val="18"/>
                <w:lang w:val="sr-Latn-RS" w:eastAsia="sr-Latn-RS"/>
              </w:rPr>
              <w:t>Dimenzije, tolerancije i zazori prema standardimu  ISO 12240-1:1998  ili ekvivalentnom</w:t>
            </w:r>
            <w:r w:rsidRPr="003C04B1">
              <w:rPr>
                <w:rFonts w:ascii="Calibri" w:hAnsi="Calibri"/>
                <w:b/>
                <w:bCs/>
                <w:color w:val="FF0000"/>
                <w:sz w:val="18"/>
                <w:szCs w:val="18"/>
                <w:lang w:val="sr-Latn-RS" w:eastAsia="sr-Latn-RS"/>
              </w:rPr>
              <w:t xml:space="preserve">                                                                                                                                                                          </w:t>
            </w:r>
            <w:r w:rsidRPr="003C04B1">
              <w:rPr>
                <w:rFonts w:ascii="Calibri" w:hAnsi="Calibri"/>
                <w:b/>
                <w:bCs/>
                <w:color w:val="000000"/>
                <w:sz w:val="18"/>
                <w:szCs w:val="18"/>
                <w:lang w:val="sr-Latn-RS" w:eastAsia="sr-Latn-RS"/>
              </w:rPr>
              <w:t xml:space="preserve">          </w:t>
            </w:r>
            <w:r w:rsidRPr="003C04B1">
              <w:rPr>
                <w:rFonts w:ascii="Calibri" w:hAnsi="Calibri"/>
                <w:b/>
                <w:bCs/>
                <w:color w:val="FF0000"/>
                <w:sz w:val="18"/>
                <w:szCs w:val="18"/>
                <w:lang w:val="sr-Latn-RS" w:eastAsia="sr-Latn-RS"/>
              </w:rPr>
              <w:t xml:space="preserve">   </w:t>
            </w:r>
            <w:r w:rsidRPr="003C04B1">
              <w:rPr>
                <w:rFonts w:ascii="Calibri" w:hAnsi="Calibri"/>
                <w:b/>
                <w:bCs/>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zaptivke</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GE60-2RS</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 (grupa 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Zaptivka od sintetičke gume ili poliester elastomera na obe strane ležaja</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GE70-2RS</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 (grupa 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Zaptivka od sintetičke gume ili poliester elastomera na obe strane ležaja</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333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GE12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Sferni klizni ležaj - kontaktne površine čelik na čelik - otvoren- spoljašnji prsten razdvojen na odgovarajućem mestu, sa kanalom i dva otvora za podmazivanje u unutrašnjem i spoljašnjem prstenu</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Normalan (grupa N)</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r>
      <w:tr w:rsidR="003C04B1" w:rsidRPr="003C04B1" w:rsidTr="003C04B1">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C04B1" w:rsidRPr="003C04B1" w:rsidRDefault="003C04B1" w:rsidP="003C04B1">
            <w:pPr>
              <w:suppressAutoHyphens w:val="0"/>
              <w:jc w:val="center"/>
              <w:rPr>
                <w:rFonts w:ascii="Calibri" w:hAnsi="Calibri"/>
                <w:b/>
                <w:bCs/>
                <w:sz w:val="18"/>
                <w:szCs w:val="18"/>
                <w:lang w:val="sr-Latn-RS" w:eastAsia="sr-Latn-RS"/>
              </w:rPr>
            </w:pPr>
            <w:r w:rsidRPr="003C04B1">
              <w:rPr>
                <w:rFonts w:ascii="Calibri" w:hAnsi="Calibri"/>
                <w:b/>
                <w:bCs/>
                <w:sz w:val="18"/>
                <w:szCs w:val="18"/>
                <w:lang w:val="sr-Latn-RS" w:eastAsia="sr-Latn-RS"/>
              </w:rPr>
              <w:t xml:space="preserve">Cilindrično valjkasti ležajevi za ŽELEZNIČKU aplikaciju  </w:t>
            </w:r>
            <w:r w:rsidRPr="003C04B1">
              <w:rPr>
                <w:rFonts w:ascii="Calibri" w:hAnsi="Calibri"/>
                <w:b/>
                <w:bCs/>
                <w:sz w:val="18"/>
                <w:szCs w:val="18"/>
                <w:lang w:val="sr-Latn-RS" w:eastAsia="sr-Latn-RS"/>
              </w:rPr>
              <w:br w:type="page"/>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334</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xml:space="preserve">NU 422 MC4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r>
      <w:tr w:rsidR="003C04B1" w:rsidRPr="003C04B1" w:rsidTr="003C04B1">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C04B1" w:rsidRPr="003C04B1" w:rsidRDefault="003C04B1" w:rsidP="003C04B1">
            <w:pPr>
              <w:suppressAutoHyphens w:val="0"/>
              <w:jc w:val="center"/>
              <w:rPr>
                <w:rFonts w:ascii="Calibri" w:hAnsi="Calibri"/>
                <w:b/>
                <w:bCs/>
                <w:sz w:val="18"/>
                <w:szCs w:val="18"/>
                <w:lang w:val="sr-Latn-RS" w:eastAsia="sr-Latn-RS"/>
              </w:rPr>
            </w:pPr>
            <w:r w:rsidRPr="003C04B1">
              <w:rPr>
                <w:rFonts w:ascii="Calibri" w:hAnsi="Calibri"/>
                <w:b/>
                <w:bCs/>
                <w:sz w:val="18"/>
                <w:szCs w:val="18"/>
                <w:lang w:val="sr-Latn-RS" w:eastAsia="sr-Latn-RS"/>
              </w:rPr>
              <w:t xml:space="preserve">Cilindrično valjkasti ležajevi - punoredni bez kaveza                                                                                                                     Materijal prema standardu SRPS EN ISO 683-17:2015 ili ekvivalentnom                                           Dimenzije prema standardu SRPS ISO 15:2015   ili ekvivalentnom                                             </w:t>
            </w:r>
            <w:r w:rsidRPr="003C04B1">
              <w:rPr>
                <w:rFonts w:ascii="Calibri" w:hAnsi="Calibri"/>
                <w:b/>
                <w:bCs/>
                <w:sz w:val="18"/>
                <w:szCs w:val="18"/>
                <w:lang w:val="sr-Latn-RS" w:eastAsia="sr-Latn-RS"/>
              </w:rPr>
              <w:br/>
              <w:t xml:space="preserve">   Radijalni unutrašnji zazor prema standardu SRPS ISO 5753-1:2015 ili ekvivalentnom                                                                                               Tolerancije prema standardu SRPS ISO 492:2015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sz w:val="16"/>
                <w:szCs w:val="16"/>
                <w:lang w:val="sr-Latn-RS" w:eastAsia="sr-Latn-RS"/>
              </w:rPr>
            </w:pPr>
            <w:r w:rsidRPr="003C04B1">
              <w:rPr>
                <w:rFonts w:ascii="Calibri" w:hAnsi="Calibri"/>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335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NCF 3052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Jednoredni cilindrično valjkasti ležaj bez kaveza (punoredni)</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359" w:type="dxa"/>
            <w:gridSpan w:val="2"/>
            <w:tcBorders>
              <w:top w:val="nil"/>
              <w:left w:val="nil"/>
              <w:bottom w:val="single" w:sz="4" w:space="0" w:color="auto"/>
              <w:right w:val="nil"/>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490" w:type="dxa"/>
            <w:gridSpan w:val="2"/>
            <w:tcBorders>
              <w:top w:val="nil"/>
              <w:left w:val="nil"/>
              <w:bottom w:val="single" w:sz="4" w:space="0" w:color="auto"/>
              <w:right w:val="nil"/>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998" w:type="dxa"/>
            <w:gridSpan w:val="2"/>
            <w:tcBorders>
              <w:top w:val="nil"/>
              <w:left w:val="nil"/>
              <w:bottom w:val="single" w:sz="4" w:space="0" w:color="auto"/>
              <w:right w:val="nil"/>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958" w:type="dxa"/>
            <w:gridSpan w:val="2"/>
            <w:tcBorders>
              <w:top w:val="nil"/>
              <w:left w:val="nil"/>
              <w:bottom w:val="single" w:sz="4" w:space="0" w:color="auto"/>
              <w:right w:val="nil"/>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869" w:type="dxa"/>
            <w:gridSpan w:val="2"/>
            <w:tcBorders>
              <w:top w:val="nil"/>
              <w:left w:val="nil"/>
              <w:bottom w:val="single" w:sz="4" w:space="0" w:color="auto"/>
              <w:right w:val="nil"/>
            </w:tcBorders>
            <w:shd w:val="clear" w:color="000000" w:fill="FFFFFF"/>
            <w:noWrap/>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843" w:type="dxa"/>
            <w:tcBorders>
              <w:top w:val="nil"/>
              <w:left w:val="nil"/>
              <w:bottom w:val="single" w:sz="4" w:space="0" w:color="auto"/>
              <w:right w:val="single" w:sz="4" w:space="0" w:color="auto"/>
            </w:tcBorders>
            <w:shd w:val="clear" w:color="auto" w:fill="auto"/>
            <w:vAlign w:val="center"/>
            <w:hideMark/>
          </w:tcPr>
          <w:p w:rsidR="003C04B1" w:rsidRPr="003C04B1" w:rsidRDefault="003C04B1" w:rsidP="003C04B1">
            <w:pPr>
              <w:suppressAutoHyphens w:val="0"/>
              <w:jc w:val="center"/>
              <w:rPr>
                <w:rFonts w:ascii="Calibri" w:hAnsi="Calibri"/>
                <w:sz w:val="16"/>
                <w:szCs w:val="16"/>
                <w:lang w:val="sr-Latn-RS" w:eastAsia="sr-Latn-RS"/>
              </w:rPr>
            </w:pPr>
            <w:r w:rsidRPr="003C04B1">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FF0000"/>
                <w:sz w:val="16"/>
                <w:szCs w:val="16"/>
                <w:lang w:val="sr-Latn-RS" w:eastAsia="sr-Latn-RS"/>
              </w:rPr>
            </w:pPr>
            <w:r w:rsidRPr="003C04B1">
              <w:rPr>
                <w:rFonts w:ascii="Calibri" w:hAnsi="Calibri"/>
                <w:color w:val="FF0000"/>
                <w:sz w:val="16"/>
                <w:szCs w:val="16"/>
                <w:lang w:val="sr-Latn-RS" w:eastAsia="sr-Latn-RS"/>
              </w:rPr>
              <w:t> </w:t>
            </w:r>
          </w:p>
        </w:tc>
      </w:tr>
      <w:tr w:rsidR="003C04B1" w:rsidRPr="003C04B1" w:rsidTr="003C04B1">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vAlign w:val="center"/>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color w:val="000000"/>
                <w:sz w:val="18"/>
                <w:szCs w:val="18"/>
                <w:lang w:val="sr-Latn-RS" w:eastAsia="sr-Latn-RS"/>
              </w:rPr>
              <w:t xml:space="preserve">Kućišta za ležajeve - dvodelna stojeća sa dva otvora za vezu sa pripadajućim učvrsnim prstenovima i setom zaptivki                                                                                                                                                     </w:t>
            </w:r>
            <w:r w:rsidRPr="003C04B1">
              <w:rPr>
                <w:rFonts w:ascii="Calibri" w:hAnsi="Calibri"/>
                <w:b/>
                <w:bCs/>
                <w:sz w:val="18"/>
                <w:szCs w:val="18"/>
                <w:lang w:val="sr-Latn-RS" w:eastAsia="sr-Latn-RS"/>
              </w:rPr>
              <w:t xml:space="preserve">Materijal - sivo liveno gvožđe (sivi liv) - GG20 (DIN 1691) ili EN-GJL-200 (EN 1561) ili ekvivalentno                                                                           </w:t>
            </w:r>
            <w:r w:rsidRPr="003C04B1">
              <w:rPr>
                <w:rFonts w:ascii="Calibri" w:hAnsi="Calibri"/>
                <w:b/>
                <w:bCs/>
                <w:sz w:val="18"/>
                <w:szCs w:val="18"/>
                <w:lang w:val="sr-Latn-RS" w:eastAsia="sr-Latn-RS"/>
              </w:rPr>
              <w:br/>
              <w:t xml:space="preserve">  Dimenzije kućišta prema standardu   SRPS ISO 113:2005  ili ekvivalentnom    </w:t>
            </w:r>
            <w:r w:rsidRPr="003C04B1">
              <w:rPr>
                <w:rFonts w:ascii="Calibri" w:hAnsi="Calibri"/>
                <w:sz w:val="18"/>
                <w:szCs w:val="18"/>
                <w:lang w:val="sr-Latn-RS" w:eastAsia="sr-Latn-RS"/>
              </w:rPr>
              <w:t xml:space="preserve">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Tip kućišta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336</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 619 za ležaj 22222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22222 K, čauru H322, za glatko vratilo prečnika d=100mm,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337</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 517 za ležaj 22217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 prema ISO 113 za ležaj 22217 K, čauru H317, za glatko vratilo prečnika d=75mm,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 518 za ležaj 22218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22218K, čauru H318, za glatko vratilo prečnika d=80mm,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339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 519 za ležaj 22219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22219 K, čauru H319, za glatko vratilo prečnika d=85mm,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340</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 528 za ležaj 22228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22228 K, čauru H3128, glatko vratilo prečnika d=125mm,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341</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 532 za ležaj 22232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Dvodelno stojeće kućište (dva otvora u stopama za vezu)prema ISO 113 za ležaj 22232K, čauru H3132, za glatko vratilo prečnika d=140mm, sa pripadajućim učvrsnim prstenovima i setom zaptivki</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3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342</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520-617 za ležaj 22220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22220 K, čauru H320, za glatko vratilo prečnika d=90mm,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343</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506 za ležaj 1206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1206K, čauru H206, za glatko vratilo prečnika d=25mm,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344</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507 za ležaj 1207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1207K, čauru H207, za glatko vratilo prečnika d=30mm,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345</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509 za ležaj 1209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1209K, čauru H209, za glatko vratilo prečnika d=40mm,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346</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511 za ležaj 22211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22211K, čauru H311, za glatko vratilo prečnika d=50mm,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347</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513 za ležaj 1213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1213K, čauru H213 , za glatko vratilo prečnika d=60mm, sa prpadajućim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522 za ležaj 22222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Dvodelno stojeće kućište (dva otvora u stopama za vezu)prema ISO 113 za ležaj 22222K, čauru H322, za glatko vratilo prečnika d=100mm,  sa pripadajućim učvrsnim prstenovima i setom zaptivki</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349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Kućište SNL 609 za ležaj 1309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Dvodelno stojeće kućište (dva otvora u stopama za vezu)prema ISO 113 za ležaj 1309K, čauru H309 , za glatko vratilo prečnika d=40mm,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Zaptivke mogu biti filcane, gumene ili labirintske</w:t>
            </w:r>
          </w:p>
        </w:tc>
      </w:tr>
      <w:tr w:rsidR="003C04B1" w:rsidRPr="003C04B1" w:rsidTr="003C04B1">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vAlign w:val="center"/>
            <w:hideMark/>
          </w:tcPr>
          <w:p w:rsidR="003C04B1" w:rsidRPr="003C04B1" w:rsidRDefault="003C04B1" w:rsidP="003C04B1">
            <w:pPr>
              <w:suppressAutoHyphens w:val="0"/>
              <w:jc w:val="center"/>
              <w:rPr>
                <w:rFonts w:ascii="Calibri" w:hAnsi="Calibri"/>
                <w:b/>
                <w:bCs/>
                <w:sz w:val="18"/>
                <w:szCs w:val="18"/>
                <w:lang w:val="sr-Latn-RS" w:eastAsia="sr-Latn-RS"/>
              </w:rPr>
            </w:pPr>
            <w:r w:rsidRPr="003C04B1">
              <w:rPr>
                <w:rFonts w:ascii="Calibri" w:hAnsi="Calibri"/>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xml:space="preserve">Tolerancija unutarnjeg prečnika JS9    </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H204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358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359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H322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H2326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H2330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369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H2334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H3056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H3124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H3128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H3132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H3140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AH2340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Hilzna - čaura za izvlačenje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Spoljašnji konus 1:12</w:t>
            </w:r>
          </w:p>
        </w:tc>
      </w:tr>
      <w:tr w:rsidR="003C04B1" w:rsidRPr="003C04B1" w:rsidTr="003C04B1">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C04B1" w:rsidRPr="003C04B1" w:rsidRDefault="003C04B1" w:rsidP="003C04B1">
            <w:pPr>
              <w:suppressAutoHyphens w:val="0"/>
              <w:jc w:val="center"/>
              <w:rPr>
                <w:rFonts w:ascii="Calibri" w:hAnsi="Calibri"/>
                <w:color w:val="000000"/>
                <w:sz w:val="18"/>
                <w:szCs w:val="18"/>
                <w:lang w:val="sr-Latn-RS" w:eastAsia="sr-Latn-RS"/>
              </w:rPr>
            </w:pPr>
            <w:r w:rsidRPr="003C04B1">
              <w:rPr>
                <w:rFonts w:ascii="Calibri" w:hAnsi="Calibri"/>
                <w:b/>
                <w:bCs/>
                <w:sz w:val="18"/>
                <w:szCs w:val="18"/>
                <w:lang w:val="sr-Latn-RS" w:eastAsia="sr-Latn-RS"/>
              </w:rPr>
              <w:t xml:space="preserve">Navrtke za učvršćivanje ležaja i prsteni za blokadu prema standardu SRPS ISO 2982-2, DIN 5406, DIN 981 ili ekvivalentnom                                                                                                                                      Tolerancije prema SRPS ISO 965-3/1:2005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w:t>
            </w:r>
            <w:r w:rsidRPr="003C04B1">
              <w:rPr>
                <w:rFonts w:ascii="Calibri" w:hAnsi="Calibri"/>
                <w:color w:val="FF0000"/>
                <w:sz w:val="18"/>
                <w:szCs w:val="18"/>
                <w:lang w:val="sr-Latn-RS" w:eastAsia="sr-Latn-RS"/>
              </w:rPr>
              <w:t xml:space="preserve">   </w:t>
            </w:r>
            <w:r w:rsidRPr="003C04B1">
              <w:rPr>
                <w:rFonts w:ascii="Calibri" w:hAnsi="Calibri"/>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xml:space="preserve">Tolerancije </w:t>
            </w:r>
          </w:p>
        </w:tc>
        <w:tc>
          <w:tcPr>
            <w:tcW w:w="1843"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C04B1" w:rsidRPr="003C04B1" w:rsidRDefault="003C04B1" w:rsidP="003C04B1">
            <w:pPr>
              <w:suppressAutoHyphens w:val="0"/>
              <w:jc w:val="center"/>
              <w:rPr>
                <w:rFonts w:ascii="Calibri" w:hAnsi="Calibri"/>
                <w:b/>
                <w:bCs/>
                <w:color w:val="000000"/>
                <w:sz w:val="16"/>
                <w:szCs w:val="16"/>
                <w:lang w:val="sr-Latn-RS" w:eastAsia="sr-Latn-RS"/>
              </w:rPr>
            </w:pPr>
            <w:r w:rsidRPr="003C04B1">
              <w:rPr>
                <w:rFonts w:ascii="Calibri" w:hAnsi="Calibri"/>
                <w:b/>
                <w:bCs/>
                <w:color w:val="000000"/>
                <w:sz w:val="16"/>
                <w:szCs w:val="16"/>
                <w:lang w:val="sr-Latn-RS" w:eastAsia="sr-Latn-RS"/>
              </w:rPr>
              <w:t>Napomena</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KM5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KM8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KM10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379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KM24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KM26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MB10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MB12</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MB17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MB24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389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MB26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r w:rsidR="003C04B1" w:rsidRPr="003C04B1" w:rsidTr="003C04B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lastRenderedPageBreak/>
              <w:t>390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MB40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C04B1" w:rsidRPr="003C04B1" w:rsidRDefault="003C04B1" w:rsidP="003C04B1">
            <w:pPr>
              <w:suppressAutoHyphens w:val="0"/>
              <w:jc w:val="center"/>
              <w:rPr>
                <w:rFonts w:ascii="Calibri" w:hAnsi="Calibri"/>
                <w:color w:val="000000"/>
                <w:sz w:val="16"/>
                <w:szCs w:val="16"/>
                <w:lang w:val="sr-Latn-RS" w:eastAsia="sr-Latn-RS"/>
              </w:rPr>
            </w:pPr>
            <w:r w:rsidRPr="003C04B1">
              <w:rPr>
                <w:rFonts w:ascii="Calibri" w:hAnsi="Calibri"/>
                <w:color w:val="000000"/>
                <w:sz w:val="16"/>
                <w:szCs w:val="16"/>
                <w:lang w:val="sr-Latn-RS" w:eastAsia="sr-Latn-RS"/>
              </w:rPr>
              <w:t> </w:t>
            </w:r>
          </w:p>
        </w:tc>
      </w:tr>
    </w:tbl>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F8" w:rsidRDefault="004D42F8" w:rsidP="00F717AF">
      <w:r>
        <w:separator/>
      </w:r>
    </w:p>
  </w:endnote>
  <w:endnote w:type="continuationSeparator" w:id="0">
    <w:p w:rsidR="004D42F8" w:rsidRDefault="004D42F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1" w:rsidRDefault="003C04B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04B1" w:rsidRDefault="003C04B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1" w:rsidRPr="000F38BA" w:rsidRDefault="003C04B1" w:rsidP="001F2126">
    <w:pPr>
      <w:pStyle w:val="Footer"/>
      <w:jc w:val="right"/>
      <w:rPr>
        <w:sz w:val="20"/>
      </w:rPr>
    </w:pPr>
    <w:r w:rsidRPr="000F38BA">
      <w:rPr>
        <w:sz w:val="20"/>
      </w:rPr>
      <w:t xml:space="preserve">                                                                                                </w:t>
    </w:r>
  </w:p>
  <w:p w:rsidR="003C04B1" w:rsidRPr="005403F3" w:rsidRDefault="003C04B1" w:rsidP="005403F3">
    <w:pPr>
      <w:pStyle w:val="Footer"/>
      <w:tabs>
        <w:tab w:val="left" w:pos="3431"/>
        <w:tab w:val="right" w:pos="9074"/>
      </w:tabs>
      <w:jc w:val="center"/>
      <w:rPr>
        <w:i/>
      </w:rPr>
    </w:pP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B008B1">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008B1">
      <w:rPr>
        <w:i/>
        <w:noProof/>
      </w:rPr>
      <w:t>39</w:t>
    </w:r>
    <w:r w:rsidRPr="000F38BA">
      <w:rPr>
        <w:i/>
      </w:rPr>
      <w:fldChar w:fldCharType="end"/>
    </w:r>
  </w:p>
  <w:p w:rsidR="003C04B1" w:rsidRPr="001517C4" w:rsidRDefault="003C04B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F8" w:rsidRDefault="004D42F8" w:rsidP="00F717AF">
      <w:r>
        <w:separator/>
      </w:r>
    </w:p>
  </w:footnote>
  <w:footnote w:type="continuationSeparator" w:id="0">
    <w:p w:rsidR="004D42F8" w:rsidRDefault="004D42F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B1" w:rsidRDefault="003C04B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3C04B1" w:rsidRPr="00933BCC" w:rsidTr="003C04B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C04B1" w:rsidRPr="00933BCC" w:rsidRDefault="004D42F8" w:rsidP="003C04B1">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3C04B1" w:rsidRPr="00E23434" w:rsidRDefault="003C04B1" w:rsidP="003C04B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C04B1" w:rsidRPr="00933BCC" w:rsidRDefault="003C04B1" w:rsidP="003C04B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C04B1" w:rsidRPr="00E23434" w:rsidRDefault="003C04B1" w:rsidP="003C04B1">
          <w:pPr>
            <w:jc w:val="center"/>
            <w:rPr>
              <w:rFonts w:cs="Arial"/>
              <w:b/>
              <w:lang w:val="sr-Latn-RS"/>
            </w:rPr>
          </w:pPr>
          <w:r>
            <w:rPr>
              <w:rFonts w:cs="Arial"/>
              <w:b/>
            </w:rPr>
            <w:t>QF-G-030</w:t>
          </w:r>
        </w:p>
      </w:tc>
    </w:tr>
    <w:tr w:rsidR="003C04B1" w:rsidRPr="00B86FF2" w:rsidTr="003C04B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C04B1" w:rsidRPr="00933BCC" w:rsidRDefault="003C04B1" w:rsidP="003C04B1">
          <w:pPr>
            <w:spacing w:before="30"/>
            <w:rPr>
              <w:rFonts w:cs="Arial"/>
              <w:noProof/>
            </w:rPr>
          </w:pPr>
        </w:p>
      </w:tc>
      <w:tc>
        <w:tcPr>
          <w:tcW w:w="3544" w:type="dxa"/>
          <w:vMerge/>
          <w:tcBorders>
            <w:bottom w:val="double" w:sz="12" w:space="0" w:color="auto"/>
          </w:tcBorders>
          <w:shd w:val="clear" w:color="auto" w:fill="F3F3F3"/>
          <w:vAlign w:val="center"/>
        </w:tcPr>
        <w:p w:rsidR="003C04B1" w:rsidRPr="00933BCC" w:rsidRDefault="003C04B1" w:rsidP="003C04B1">
          <w:pPr>
            <w:jc w:val="center"/>
            <w:rPr>
              <w:rFonts w:cs="Arial"/>
            </w:rPr>
          </w:pPr>
        </w:p>
      </w:tc>
      <w:tc>
        <w:tcPr>
          <w:tcW w:w="1559" w:type="dxa"/>
          <w:tcBorders>
            <w:top w:val="single" w:sz="4" w:space="0" w:color="auto"/>
            <w:bottom w:val="double" w:sz="12" w:space="0" w:color="auto"/>
          </w:tcBorders>
          <w:shd w:val="clear" w:color="auto" w:fill="CCCCCC"/>
          <w:vAlign w:val="center"/>
        </w:tcPr>
        <w:p w:rsidR="003C04B1" w:rsidRPr="00933BCC" w:rsidRDefault="003C04B1" w:rsidP="003C04B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C04B1" w:rsidRPr="00552D0C" w:rsidRDefault="003C04B1" w:rsidP="003C04B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B008B1">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B008B1">
            <w:rPr>
              <w:rFonts w:cs="Arial"/>
              <w:b/>
              <w:noProof/>
            </w:rPr>
            <w:t>39</w:t>
          </w:r>
          <w:r w:rsidRPr="0081700D">
            <w:rPr>
              <w:rFonts w:cs="Arial"/>
              <w:b/>
            </w:rPr>
            <w:fldChar w:fldCharType="end"/>
          </w:r>
        </w:p>
      </w:tc>
    </w:tr>
  </w:tbl>
  <w:p w:rsidR="003C04B1" w:rsidRDefault="003C04B1">
    <w:pPr>
      <w:pStyle w:val="Header"/>
    </w:pPr>
  </w:p>
  <w:p w:rsidR="003C04B1" w:rsidRDefault="003C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32"/>
  </w:num>
  <w:num w:numId="11">
    <w:abstractNumId w:val="37"/>
  </w:num>
  <w:num w:numId="12">
    <w:abstractNumId w:val="19"/>
  </w:num>
  <w:num w:numId="13">
    <w:abstractNumId w:val="10"/>
  </w:num>
  <w:num w:numId="14">
    <w:abstractNumId w:val="12"/>
  </w:num>
  <w:num w:numId="15">
    <w:abstractNumId w:val="30"/>
  </w:num>
  <w:num w:numId="16">
    <w:abstractNumId w:val="5"/>
  </w:num>
  <w:num w:numId="17">
    <w:abstractNumId w:val="6"/>
  </w:num>
  <w:num w:numId="18">
    <w:abstractNumId w:val="14"/>
  </w:num>
  <w:num w:numId="19">
    <w:abstractNumId w:val="7"/>
  </w:num>
  <w:num w:numId="20">
    <w:abstractNumId w:val="22"/>
  </w:num>
  <w:num w:numId="21">
    <w:abstractNumId w:val="2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9"/>
  </w:num>
  <w:num w:numId="25">
    <w:abstractNumId w:val="34"/>
  </w:num>
  <w:num w:numId="26">
    <w:abstractNumId w:val="20"/>
  </w:num>
  <w:num w:numId="27">
    <w:abstractNumId w:val="27"/>
  </w:num>
  <w:num w:numId="28">
    <w:abstractNumId w:val="11"/>
  </w:num>
  <w:num w:numId="29">
    <w:abstractNumId w:val="17"/>
  </w:num>
  <w:num w:numId="30">
    <w:abstractNumId w:val="18"/>
  </w:num>
  <w:num w:numId="31">
    <w:abstractNumId w:val="21"/>
  </w:num>
  <w:num w:numId="32">
    <w:abstractNumId w:val="35"/>
  </w:num>
  <w:num w:numId="33">
    <w:abstractNumId w:val="31"/>
  </w:num>
  <w:num w:numId="34">
    <w:abstractNumId w:val="15"/>
  </w:num>
  <w:num w:numId="35">
    <w:abstractNumId w:val="4"/>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3BF8"/>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2BF1"/>
    <w:rsid w:val="001E4514"/>
    <w:rsid w:val="001E77EA"/>
    <w:rsid w:val="001F2126"/>
    <w:rsid w:val="0020521C"/>
    <w:rsid w:val="00206628"/>
    <w:rsid w:val="0020669A"/>
    <w:rsid w:val="00212237"/>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7184"/>
    <w:rsid w:val="00380F43"/>
    <w:rsid w:val="00382418"/>
    <w:rsid w:val="003918BA"/>
    <w:rsid w:val="00393C5F"/>
    <w:rsid w:val="00394C6E"/>
    <w:rsid w:val="00396B79"/>
    <w:rsid w:val="00396CC1"/>
    <w:rsid w:val="003A0B84"/>
    <w:rsid w:val="003A13C1"/>
    <w:rsid w:val="003A7895"/>
    <w:rsid w:val="003B24D0"/>
    <w:rsid w:val="003B5DA9"/>
    <w:rsid w:val="003B6BD7"/>
    <w:rsid w:val="003C04B1"/>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42F8"/>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08B1"/>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763E0"/>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C04B1"/>
  </w:style>
  <w:style w:type="numbering" w:customStyle="1" w:styleId="NoList11">
    <w:name w:val="No List11"/>
    <w:next w:val="NoList"/>
    <w:uiPriority w:val="99"/>
    <w:semiHidden/>
    <w:unhideWhenUsed/>
    <w:rsid w:val="003C04B1"/>
  </w:style>
  <w:style w:type="table" w:customStyle="1" w:styleId="TableGrid2">
    <w:name w:val="Table Grid2"/>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C04B1"/>
  </w:style>
  <w:style w:type="table" w:customStyle="1" w:styleId="TableGrid11">
    <w:name w:val="Table Grid11"/>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C04B1"/>
    <w:rPr>
      <w:rFonts w:ascii="Arial" w:eastAsia="Times New Roman" w:hAnsi="Arial" w:cs="Arial"/>
      <w:sz w:val="22"/>
      <w:szCs w:val="22"/>
      <w:lang w:val="en-US" w:eastAsia="ar-SA"/>
    </w:rPr>
  </w:style>
  <w:style w:type="table" w:customStyle="1" w:styleId="LightList1">
    <w:name w:val="Light List1"/>
    <w:basedOn w:val="TableNormal"/>
    <w:uiPriority w:val="61"/>
    <w:rsid w:val="003C04B1"/>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C04B1"/>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C04B1"/>
    <w:rPr>
      <w:i/>
      <w:iCs/>
      <w:color w:val="7F7F7F"/>
    </w:rPr>
  </w:style>
  <w:style w:type="table" w:styleId="MediumShading2-Accent5">
    <w:name w:val="Medium Shading 2 Accent 5"/>
    <w:basedOn w:val="TableNormal"/>
    <w:uiPriority w:val="64"/>
    <w:rsid w:val="003C04B1"/>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C04B1"/>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C04B1"/>
    <w:rPr>
      <w:lang w:val="sr-Latn-CS" w:eastAsia="x-none"/>
    </w:rPr>
  </w:style>
  <w:style w:type="paragraph" w:customStyle="1" w:styleId="Glava">
    <w:name w:val="Glava"/>
    <w:basedOn w:val="Normal"/>
    <w:rsid w:val="003C04B1"/>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C04B1"/>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C04B1"/>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C04B1"/>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C04B1"/>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C04B1"/>
    <w:rPr>
      <w:rFonts w:ascii="Arial" w:eastAsia="Times New Roman" w:hAnsi="Arial"/>
      <w:b/>
      <w:sz w:val="22"/>
      <w:szCs w:val="22"/>
      <w:lang w:val="en-US" w:eastAsia="en-US"/>
    </w:rPr>
  </w:style>
  <w:style w:type="paragraph" w:customStyle="1" w:styleId="KDParagraf">
    <w:name w:val="KDParagraf"/>
    <w:basedOn w:val="Normal"/>
    <w:qFormat/>
    <w:rsid w:val="003C04B1"/>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C04B1"/>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C04B1"/>
    <w:pPr>
      <w:numPr>
        <w:numId w:val="1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C04B1"/>
    <w:rPr>
      <w:rFonts w:ascii="Arial" w:eastAsia="Times New Roman" w:hAnsi="Arial"/>
      <w:i/>
      <w:color w:val="00B0F0"/>
      <w:lang w:val="ru-RU" w:eastAsia="en-US"/>
    </w:rPr>
  </w:style>
  <w:style w:type="character" w:customStyle="1" w:styleId="KDNabrajanjeChar">
    <w:name w:val="KDNabrajanje Char"/>
    <w:link w:val="KDNabrajanje"/>
    <w:rsid w:val="003C04B1"/>
    <w:rPr>
      <w:rFonts w:ascii="Arial" w:eastAsia="Times New Roman" w:hAnsi="Arial"/>
      <w:sz w:val="22"/>
      <w:szCs w:val="22"/>
      <w:lang w:val="ru-RU" w:eastAsia="en-US"/>
    </w:rPr>
  </w:style>
  <w:style w:type="character" w:customStyle="1" w:styleId="StyleArial">
    <w:name w:val="Style Arial"/>
    <w:rsid w:val="003C04B1"/>
    <w:rPr>
      <w:rFonts w:ascii="Arial" w:hAnsi="Arial"/>
      <w:sz w:val="24"/>
      <w:szCs w:val="24"/>
    </w:rPr>
  </w:style>
  <w:style w:type="paragraph" w:customStyle="1" w:styleId="KDPodnaslov2">
    <w:name w:val="KDPodnaslov2"/>
    <w:basedOn w:val="KDPodnaslov1"/>
    <w:next w:val="Normal"/>
    <w:link w:val="KDPodnaslov2Char"/>
    <w:qFormat/>
    <w:rsid w:val="003C04B1"/>
    <w:pPr>
      <w:outlineLvl w:val="1"/>
    </w:pPr>
  </w:style>
  <w:style w:type="paragraph" w:customStyle="1" w:styleId="KDPodnaslov3">
    <w:name w:val="KDPodnaslov3"/>
    <w:basedOn w:val="KDPodnaslov2"/>
    <w:next w:val="Normal"/>
    <w:link w:val="KDPodnaslov3Char"/>
    <w:qFormat/>
    <w:rsid w:val="003C04B1"/>
    <w:pPr>
      <w:tabs>
        <w:tab w:val="left" w:pos="851"/>
      </w:tabs>
      <w:spacing w:before="120"/>
      <w:jc w:val="both"/>
      <w:outlineLvl w:val="2"/>
    </w:pPr>
    <w:rPr>
      <w:b w:val="0"/>
    </w:rPr>
  </w:style>
  <w:style w:type="character" w:customStyle="1" w:styleId="KDPodnaslov2Char">
    <w:name w:val="KDPodnaslov2 Char"/>
    <w:link w:val="KDPodnaslov2"/>
    <w:rsid w:val="003C04B1"/>
    <w:rPr>
      <w:rFonts w:ascii="Arial" w:eastAsia="Times New Roman" w:hAnsi="Arial"/>
      <w:b/>
      <w:sz w:val="22"/>
      <w:szCs w:val="22"/>
      <w:lang w:val="en-US" w:eastAsia="en-US"/>
    </w:rPr>
  </w:style>
  <w:style w:type="character" w:customStyle="1" w:styleId="KDPodnaslov3Char">
    <w:name w:val="KDPodnaslov3 Char"/>
    <w:link w:val="KDPodnaslov3"/>
    <w:rsid w:val="003C04B1"/>
    <w:rPr>
      <w:rFonts w:ascii="Arial" w:eastAsia="Times New Roman" w:hAnsi="Arial"/>
      <w:sz w:val="22"/>
      <w:szCs w:val="22"/>
      <w:lang w:val="en-US" w:eastAsia="en-US"/>
    </w:rPr>
  </w:style>
  <w:style w:type="paragraph" w:customStyle="1" w:styleId="KDMojTekst">
    <w:name w:val="KDMojTekst"/>
    <w:basedOn w:val="Normal"/>
    <w:link w:val="KDMojTekstChar"/>
    <w:qFormat/>
    <w:rsid w:val="003C04B1"/>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C04B1"/>
    <w:rPr>
      <w:rFonts w:ascii="Arial" w:eastAsia="Times New Roman" w:hAnsi="Arial"/>
      <w:i/>
      <w:color w:val="92D050"/>
      <w:lang w:val="sr-Latn-CS" w:eastAsia="sr-Latn-CS"/>
    </w:rPr>
  </w:style>
  <w:style w:type="paragraph" w:customStyle="1" w:styleId="KDObrazac">
    <w:name w:val="KDObrazac"/>
    <w:basedOn w:val="Normal"/>
    <w:qFormat/>
    <w:rsid w:val="003C04B1"/>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C04B1"/>
    <w:rPr>
      <w:b/>
      <w:bCs/>
      <w:sz w:val="21"/>
      <w:szCs w:val="21"/>
      <w:shd w:val="clear" w:color="auto" w:fill="FFFFFF"/>
    </w:rPr>
  </w:style>
  <w:style w:type="paragraph" w:customStyle="1" w:styleId="Bodytext60">
    <w:name w:val="Body text (6)"/>
    <w:basedOn w:val="Normal"/>
    <w:link w:val="Bodytext6"/>
    <w:rsid w:val="003C04B1"/>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C04B1"/>
    <w:rPr>
      <w:rFonts w:eastAsia="Times New Roman" w:cs="Arial"/>
      <w:sz w:val="22"/>
      <w:szCs w:val="22"/>
      <w:lang w:val="en-US" w:eastAsia="en-US"/>
    </w:rPr>
  </w:style>
  <w:style w:type="paragraph" w:customStyle="1" w:styleId="font5">
    <w:name w:val="font5"/>
    <w:basedOn w:val="Normal"/>
    <w:rsid w:val="003C04B1"/>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C04B1"/>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C04B1"/>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C04B1"/>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C04B1"/>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C04B1"/>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C04B1"/>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C04B1"/>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C04B1"/>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C04B1"/>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C04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C04B1"/>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C04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C04B1"/>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C04B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C04B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C04B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C04B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C04B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C04B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C04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C04B1"/>
    <w:pPr>
      <w:suppressAutoHyphens w:val="0"/>
      <w:spacing w:before="100" w:beforeAutospacing="1" w:after="100" w:afterAutospacing="1"/>
    </w:pPr>
    <w:rPr>
      <w:szCs w:val="24"/>
      <w:lang w:val="sr-Latn-RS" w:eastAsia="sr-Latn-RS"/>
    </w:rPr>
  </w:style>
  <w:style w:type="paragraph" w:customStyle="1" w:styleId="xl95">
    <w:name w:val="xl95"/>
    <w:basedOn w:val="Normal"/>
    <w:rsid w:val="003C04B1"/>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C04B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C04B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C04B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C04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C04B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C04B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C04B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C04B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C04B1"/>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C04B1"/>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C04B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C04B1"/>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C04B1"/>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C04B1"/>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C04B1"/>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C04B1"/>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C04B1"/>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C04B1"/>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C04B1"/>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C04B1"/>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C04B1"/>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C04B1"/>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C04B1"/>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C04B1"/>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C04B1"/>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C04B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C04B1"/>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C04B1"/>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C04B1"/>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C04B1"/>
  </w:style>
  <w:style w:type="numbering" w:customStyle="1" w:styleId="NoList3">
    <w:name w:val="No List3"/>
    <w:next w:val="NoList"/>
    <w:uiPriority w:val="99"/>
    <w:semiHidden/>
    <w:unhideWhenUsed/>
    <w:rsid w:val="003C04B1"/>
  </w:style>
  <w:style w:type="table" w:customStyle="1" w:styleId="TableGrid21">
    <w:name w:val="Table Grid21"/>
    <w:basedOn w:val="TableNormal"/>
    <w:next w:val="TableGrid"/>
    <w:uiPriority w:val="99"/>
    <w:rsid w:val="003C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3C04B1"/>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11">
    <w:name w:val="Table Grid111"/>
    <w:uiPriority w:val="99"/>
    <w:rsid w:val="003C04B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C04B1"/>
  </w:style>
  <w:style w:type="numbering" w:customStyle="1" w:styleId="NoList1111">
    <w:name w:val="No List1111"/>
    <w:next w:val="NoList"/>
    <w:uiPriority w:val="99"/>
    <w:semiHidden/>
    <w:unhideWhenUsed/>
    <w:rsid w:val="003C04B1"/>
  </w:style>
  <w:style w:type="table" w:customStyle="1" w:styleId="TableGrid211">
    <w:name w:val="Table Grid211"/>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C04B1"/>
  </w:style>
  <w:style w:type="numbering" w:customStyle="1" w:styleId="NoList31">
    <w:name w:val="No List31"/>
    <w:next w:val="NoList"/>
    <w:uiPriority w:val="99"/>
    <w:semiHidden/>
    <w:unhideWhenUsed/>
    <w:rsid w:val="003C04B1"/>
  </w:style>
  <w:style w:type="numbering" w:customStyle="1" w:styleId="NoList12">
    <w:name w:val="No List12"/>
    <w:next w:val="NoList"/>
    <w:uiPriority w:val="99"/>
    <w:semiHidden/>
    <w:unhideWhenUsed/>
    <w:rsid w:val="003C04B1"/>
  </w:style>
  <w:style w:type="table" w:customStyle="1" w:styleId="TableGrid3">
    <w:name w:val="Table Grid3"/>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C04B1"/>
  </w:style>
  <w:style w:type="numbering" w:customStyle="1" w:styleId="NoList4">
    <w:name w:val="No List4"/>
    <w:next w:val="NoList"/>
    <w:uiPriority w:val="99"/>
    <w:semiHidden/>
    <w:unhideWhenUsed/>
    <w:rsid w:val="003C04B1"/>
  </w:style>
  <w:style w:type="numbering" w:customStyle="1" w:styleId="NoList13">
    <w:name w:val="No List13"/>
    <w:next w:val="NoList"/>
    <w:uiPriority w:val="99"/>
    <w:semiHidden/>
    <w:unhideWhenUsed/>
    <w:rsid w:val="003C04B1"/>
  </w:style>
  <w:style w:type="table" w:customStyle="1" w:styleId="TableGrid4">
    <w:name w:val="Table Grid4"/>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3C04B1"/>
  </w:style>
  <w:style w:type="numbering" w:customStyle="1" w:styleId="NoList5">
    <w:name w:val="No List5"/>
    <w:next w:val="NoList"/>
    <w:uiPriority w:val="99"/>
    <w:semiHidden/>
    <w:unhideWhenUsed/>
    <w:rsid w:val="003C04B1"/>
  </w:style>
  <w:style w:type="numbering" w:customStyle="1" w:styleId="NoList14">
    <w:name w:val="No List14"/>
    <w:next w:val="NoList"/>
    <w:uiPriority w:val="99"/>
    <w:semiHidden/>
    <w:unhideWhenUsed/>
    <w:rsid w:val="003C04B1"/>
  </w:style>
  <w:style w:type="table" w:customStyle="1" w:styleId="TableGrid5">
    <w:name w:val="Table Grid5"/>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3C04B1"/>
  </w:style>
  <w:style w:type="numbering" w:customStyle="1" w:styleId="NoList6">
    <w:name w:val="No List6"/>
    <w:next w:val="NoList"/>
    <w:uiPriority w:val="99"/>
    <w:semiHidden/>
    <w:unhideWhenUsed/>
    <w:rsid w:val="003C04B1"/>
  </w:style>
  <w:style w:type="numbering" w:customStyle="1" w:styleId="NoList15">
    <w:name w:val="No List15"/>
    <w:next w:val="NoList"/>
    <w:uiPriority w:val="99"/>
    <w:semiHidden/>
    <w:unhideWhenUsed/>
    <w:rsid w:val="003C04B1"/>
  </w:style>
  <w:style w:type="table" w:customStyle="1" w:styleId="TableGrid6">
    <w:name w:val="Table Grid6"/>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C04B1"/>
  </w:style>
  <w:style w:type="numbering" w:customStyle="1" w:styleId="NoList7">
    <w:name w:val="No List7"/>
    <w:next w:val="NoList"/>
    <w:uiPriority w:val="99"/>
    <w:semiHidden/>
    <w:unhideWhenUsed/>
    <w:rsid w:val="003C04B1"/>
  </w:style>
  <w:style w:type="table" w:customStyle="1" w:styleId="TableGrid7">
    <w:name w:val="Table Grid7"/>
    <w:basedOn w:val="TableNormal"/>
    <w:next w:val="TableGrid"/>
    <w:uiPriority w:val="99"/>
    <w:rsid w:val="003C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3C04B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3C04B1"/>
  </w:style>
  <w:style w:type="numbering" w:customStyle="1" w:styleId="NoList112">
    <w:name w:val="No List112"/>
    <w:next w:val="NoList"/>
    <w:uiPriority w:val="99"/>
    <w:semiHidden/>
    <w:unhideWhenUsed/>
    <w:rsid w:val="003C04B1"/>
  </w:style>
  <w:style w:type="table" w:customStyle="1" w:styleId="TableGrid22">
    <w:name w:val="Table Grid22"/>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3C04B1"/>
  </w:style>
  <w:style w:type="numbering" w:customStyle="1" w:styleId="NoList32">
    <w:name w:val="No List32"/>
    <w:next w:val="NoList"/>
    <w:uiPriority w:val="99"/>
    <w:semiHidden/>
    <w:unhideWhenUsed/>
    <w:rsid w:val="003C04B1"/>
  </w:style>
  <w:style w:type="numbering" w:customStyle="1" w:styleId="NoList121">
    <w:name w:val="No List121"/>
    <w:next w:val="NoList"/>
    <w:uiPriority w:val="99"/>
    <w:semiHidden/>
    <w:unhideWhenUsed/>
    <w:rsid w:val="003C04B1"/>
  </w:style>
  <w:style w:type="numbering" w:customStyle="1" w:styleId="NoList212">
    <w:name w:val="No List212"/>
    <w:next w:val="NoList"/>
    <w:uiPriority w:val="99"/>
    <w:semiHidden/>
    <w:unhideWhenUsed/>
    <w:rsid w:val="003C04B1"/>
  </w:style>
  <w:style w:type="numbering" w:customStyle="1" w:styleId="NoList41">
    <w:name w:val="No List41"/>
    <w:next w:val="NoList"/>
    <w:uiPriority w:val="99"/>
    <w:semiHidden/>
    <w:unhideWhenUsed/>
    <w:rsid w:val="003C04B1"/>
  </w:style>
  <w:style w:type="numbering" w:customStyle="1" w:styleId="NoList131">
    <w:name w:val="No List131"/>
    <w:next w:val="NoList"/>
    <w:uiPriority w:val="99"/>
    <w:semiHidden/>
    <w:unhideWhenUsed/>
    <w:rsid w:val="003C04B1"/>
  </w:style>
  <w:style w:type="numbering" w:customStyle="1" w:styleId="NoList221">
    <w:name w:val="No List221"/>
    <w:next w:val="NoList"/>
    <w:uiPriority w:val="99"/>
    <w:semiHidden/>
    <w:unhideWhenUsed/>
    <w:rsid w:val="003C04B1"/>
  </w:style>
  <w:style w:type="numbering" w:customStyle="1" w:styleId="NoList51">
    <w:name w:val="No List51"/>
    <w:next w:val="NoList"/>
    <w:uiPriority w:val="99"/>
    <w:semiHidden/>
    <w:unhideWhenUsed/>
    <w:rsid w:val="003C04B1"/>
  </w:style>
  <w:style w:type="numbering" w:customStyle="1" w:styleId="NoList141">
    <w:name w:val="No List141"/>
    <w:next w:val="NoList"/>
    <w:uiPriority w:val="99"/>
    <w:semiHidden/>
    <w:unhideWhenUsed/>
    <w:rsid w:val="003C04B1"/>
  </w:style>
  <w:style w:type="numbering" w:customStyle="1" w:styleId="NoList231">
    <w:name w:val="No List231"/>
    <w:next w:val="NoList"/>
    <w:uiPriority w:val="99"/>
    <w:semiHidden/>
    <w:unhideWhenUsed/>
    <w:rsid w:val="003C04B1"/>
  </w:style>
  <w:style w:type="numbering" w:customStyle="1" w:styleId="NoList61">
    <w:name w:val="No List61"/>
    <w:next w:val="NoList"/>
    <w:uiPriority w:val="99"/>
    <w:semiHidden/>
    <w:unhideWhenUsed/>
    <w:rsid w:val="003C04B1"/>
  </w:style>
  <w:style w:type="numbering" w:customStyle="1" w:styleId="NoList151">
    <w:name w:val="No List151"/>
    <w:next w:val="NoList"/>
    <w:uiPriority w:val="99"/>
    <w:semiHidden/>
    <w:unhideWhenUsed/>
    <w:rsid w:val="003C04B1"/>
  </w:style>
  <w:style w:type="numbering" w:customStyle="1" w:styleId="NoList241">
    <w:name w:val="No List241"/>
    <w:next w:val="NoList"/>
    <w:uiPriority w:val="99"/>
    <w:semiHidden/>
    <w:unhideWhenUsed/>
    <w:rsid w:val="003C04B1"/>
  </w:style>
  <w:style w:type="numbering" w:customStyle="1" w:styleId="NoList8">
    <w:name w:val="No List8"/>
    <w:next w:val="NoList"/>
    <w:uiPriority w:val="99"/>
    <w:semiHidden/>
    <w:unhideWhenUsed/>
    <w:rsid w:val="003C04B1"/>
  </w:style>
  <w:style w:type="table" w:customStyle="1" w:styleId="TableGrid8">
    <w:name w:val="Table Grid8"/>
    <w:basedOn w:val="TableNormal"/>
    <w:next w:val="TableGrid"/>
    <w:uiPriority w:val="99"/>
    <w:rsid w:val="003C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3C04B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3C04B1"/>
  </w:style>
  <w:style w:type="numbering" w:customStyle="1" w:styleId="NoList113">
    <w:name w:val="No List113"/>
    <w:next w:val="NoList"/>
    <w:uiPriority w:val="99"/>
    <w:semiHidden/>
    <w:unhideWhenUsed/>
    <w:rsid w:val="003C04B1"/>
  </w:style>
  <w:style w:type="table" w:customStyle="1" w:styleId="TableGrid23">
    <w:name w:val="Table Grid23"/>
    <w:basedOn w:val="TableNormal"/>
    <w:next w:val="TableGrid"/>
    <w:rsid w:val="003C04B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3C0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C04B1"/>
  </w:style>
  <w:style w:type="numbering" w:customStyle="1" w:styleId="NoList33">
    <w:name w:val="No List33"/>
    <w:next w:val="NoList"/>
    <w:uiPriority w:val="99"/>
    <w:semiHidden/>
    <w:unhideWhenUsed/>
    <w:rsid w:val="003C04B1"/>
  </w:style>
  <w:style w:type="numbering" w:customStyle="1" w:styleId="NoList122">
    <w:name w:val="No List122"/>
    <w:next w:val="NoList"/>
    <w:uiPriority w:val="99"/>
    <w:semiHidden/>
    <w:unhideWhenUsed/>
    <w:rsid w:val="003C04B1"/>
  </w:style>
  <w:style w:type="numbering" w:customStyle="1" w:styleId="NoList213">
    <w:name w:val="No List213"/>
    <w:next w:val="NoList"/>
    <w:uiPriority w:val="99"/>
    <w:semiHidden/>
    <w:unhideWhenUsed/>
    <w:rsid w:val="003C04B1"/>
  </w:style>
  <w:style w:type="numbering" w:customStyle="1" w:styleId="NoList42">
    <w:name w:val="No List42"/>
    <w:next w:val="NoList"/>
    <w:uiPriority w:val="99"/>
    <w:semiHidden/>
    <w:unhideWhenUsed/>
    <w:rsid w:val="003C04B1"/>
  </w:style>
  <w:style w:type="numbering" w:customStyle="1" w:styleId="NoList132">
    <w:name w:val="No List132"/>
    <w:next w:val="NoList"/>
    <w:uiPriority w:val="99"/>
    <w:semiHidden/>
    <w:unhideWhenUsed/>
    <w:rsid w:val="003C04B1"/>
  </w:style>
  <w:style w:type="numbering" w:customStyle="1" w:styleId="NoList222">
    <w:name w:val="No List222"/>
    <w:next w:val="NoList"/>
    <w:uiPriority w:val="99"/>
    <w:semiHidden/>
    <w:unhideWhenUsed/>
    <w:rsid w:val="003C04B1"/>
  </w:style>
  <w:style w:type="numbering" w:customStyle="1" w:styleId="NoList52">
    <w:name w:val="No List52"/>
    <w:next w:val="NoList"/>
    <w:uiPriority w:val="99"/>
    <w:semiHidden/>
    <w:unhideWhenUsed/>
    <w:rsid w:val="003C04B1"/>
  </w:style>
  <w:style w:type="numbering" w:customStyle="1" w:styleId="NoList142">
    <w:name w:val="No List142"/>
    <w:next w:val="NoList"/>
    <w:uiPriority w:val="99"/>
    <w:semiHidden/>
    <w:unhideWhenUsed/>
    <w:rsid w:val="003C04B1"/>
  </w:style>
  <w:style w:type="numbering" w:customStyle="1" w:styleId="NoList232">
    <w:name w:val="No List232"/>
    <w:next w:val="NoList"/>
    <w:uiPriority w:val="99"/>
    <w:semiHidden/>
    <w:unhideWhenUsed/>
    <w:rsid w:val="003C04B1"/>
  </w:style>
  <w:style w:type="numbering" w:customStyle="1" w:styleId="NoList62">
    <w:name w:val="No List62"/>
    <w:next w:val="NoList"/>
    <w:uiPriority w:val="99"/>
    <w:semiHidden/>
    <w:unhideWhenUsed/>
    <w:rsid w:val="003C04B1"/>
  </w:style>
  <w:style w:type="numbering" w:customStyle="1" w:styleId="NoList152">
    <w:name w:val="No List152"/>
    <w:next w:val="NoList"/>
    <w:uiPriority w:val="99"/>
    <w:semiHidden/>
    <w:unhideWhenUsed/>
    <w:rsid w:val="003C04B1"/>
  </w:style>
  <w:style w:type="numbering" w:customStyle="1" w:styleId="NoList242">
    <w:name w:val="No List242"/>
    <w:next w:val="NoList"/>
    <w:uiPriority w:val="99"/>
    <w:semiHidden/>
    <w:unhideWhenUsed/>
    <w:rsid w:val="003C04B1"/>
  </w:style>
  <w:style w:type="numbering" w:customStyle="1" w:styleId="NoList9">
    <w:name w:val="No List9"/>
    <w:next w:val="NoList"/>
    <w:uiPriority w:val="99"/>
    <w:semiHidden/>
    <w:unhideWhenUsed/>
    <w:rsid w:val="003C04B1"/>
  </w:style>
  <w:style w:type="paragraph" w:customStyle="1" w:styleId="font12">
    <w:name w:val="font12"/>
    <w:basedOn w:val="Normal"/>
    <w:rsid w:val="003C04B1"/>
    <w:pPr>
      <w:suppressAutoHyphens w:val="0"/>
      <w:spacing w:before="100" w:beforeAutospacing="1" w:after="100" w:afterAutospacing="1"/>
    </w:pPr>
    <w:rPr>
      <w:rFonts w:ascii="Calibri" w:hAnsi="Calibri"/>
      <w:b/>
      <w:bCs/>
      <w:color w:val="000000"/>
      <w:sz w:val="18"/>
      <w:szCs w:val="18"/>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AEAE-908A-4C7B-A935-86003794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15304</Words>
  <Characters>87234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30</cp:revision>
  <cp:lastPrinted>2018-01-03T11:37:00Z</cp:lastPrinted>
  <dcterms:created xsi:type="dcterms:W3CDTF">2015-07-01T14:16:00Z</dcterms:created>
  <dcterms:modified xsi:type="dcterms:W3CDTF">2018-01-04T08:56:00Z</dcterms:modified>
</cp:coreProperties>
</file>