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5F65" w:rsidRDefault="00086BC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D85F6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D85F6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85F6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D85F65">
        <w:rPr>
          <w:rFonts w:ascii="Arial" w:hAnsi="Arial" w:cs="Arial"/>
          <w:sz w:val="22"/>
          <w:szCs w:val="22"/>
        </w:rPr>
        <w:t>ДОБАРА</w:t>
      </w:r>
      <w:r w:rsidR="00D85F65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Pr="00295D8C" w:rsidRDefault="00D85F6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E6060">
        <w:rPr>
          <w:rFonts w:ascii="Arial" w:hAnsi="Arial"/>
          <w:lang w:val="sr-Cyrl-RS"/>
        </w:rPr>
        <w:t xml:space="preserve">Набавка хемикалија </w:t>
      </w:r>
      <w:r>
        <w:rPr>
          <w:rFonts w:ascii="Arial" w:hAnsi="Arial"/>
          <w:lang w:val="sr-Cyrl-RS"/>
        </w:rPr>
        <w:t>и опреме за лабораторију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D85F65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D85F65" w:rsidRPr="005E6060">
        <w:rPr>
          <w:rFonts w:ascii="Arial" w:hAnsi="Arial"/>
          <w:b/>
        </w:rPr>
        <w:t>3000/</w:t>
      </w:r>
      <w:r w:rsidR="00D85F65" w:rsidRPr="005E6060">
        <w:rPr>
          <w:rFonts w:ascii="Arial" w:hAnsi="Arial"/>
          <w:b/>
          <w:lang w:val="sr-Latn-RS"/>
        </w:rPr>
        <w:t xml:space="preserve"> 0886</w:t>
      </w:r>
      <w:r w:rsidR="00D85F65" w:rsidRPr="005E6060">
        <w:rPr>
          <w:rFonts w:ascii="Arial" w:hAnsi="Arial"/>
          <w:b/>
        </w:rPr>
        <w:t>/2017 (</w:t>
      </w:r>
      <w:r w:rsidR="00D85F65" w:rsidRPr="005E6060">
        <w:rPr>
          <w:rFonts w:ascii="Arial" w:hAnsi="Arial"/>
          <w:b/>
          <w:lang w:val="sr-Latn-RS"/>
        </w:rPr>
        <w:t>2059</w:t>
      </w:r>
      <w:r w:rsidR="00D85F65" w:rsidRPr="005E6060">
        <w:rPr>
          <w:rFonts w:ascii="Arial" w:hAnsi="Arial"/>
          <w:b/>
        </w:rPr>
        <w:t>/2017)</w:t>
      </w:r>
      <w:r w:rsidR="00D85F65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C2025">
        <w:rPr>
          <w:rFonts w:ascii="Arial" w:hAnsi="Arial" w:cs="Arial"/>
          <w:sz w:val="22"/>
          <w:szCs w:val="22"/>
          <w:lang w:val="sr-Latn-RS"/>
        </w:rPr>
        <w:t>105-E.03.01-</w:t>
      </w:r>
      <w:r w:rsidR="0096761E">
        <w:rPr>
          <w:rFonts w:ascii="Arial" w:hAnsi="Arial" w:cs="Arial"/>
          <w:sz w:val="22"/>
          <w:szCs w:val="22"/>
          <w:lang w:val="sr-Latn-RS"/>
        </w:rPr>
        <w:t>1756/10</w:t>
      </w:r>
      <w:r w:rsidR="00AC2025">
        <w:rPr>
          <w:rFonts w:ascii="Arial" w:hAnsi="Arial" w:cs="Arial"/>
          <w:sz w:val="22"/>
          <w:szCs w:val="2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6761E">
        <w:rPr>
          <w:rFonts w:ascii="Arial" w:hAnsi="Arial" w:cs="Arial"/>
          <w:sz w:val="22"/>
          <w:szCs w:val="22"/>
          <w:lang w:val="sr-Latn-RS"/>
        </w:rPr>
        <w:t>19.02</w:t>
      </w:r>
      <w:r w:rsidR="00AC2025">
        <w:rPr>
          <w:rFonts w:ascii="Arial" w:hAnsi="Arial" w:cs="Arial"/>
          <w:sz w:val="22"/>
          <w:szCs w:val="22"/>
          <w:lang w:val="sr-Latn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85F6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086BCA">
        <w:rPr>
          <w:rFonts w:ascii="Arial" w:hAnsi="Arial" w:cs="Arial"/>
          <w:i/>
          <w:sz w:val="22"/>
          <w:szCs w:val="22"/>
          <w:lang w:val="sr-Cyrl-RS"/>
        </w:rPr>
        <w:t>Фебруар,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86BC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D85F65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85F65" w:rsidRDefault="00C6690C" w:rsidP="00D85F65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85F65">
        <w:rPr>
          <w:rFonts w:ascii="Arial" w:hAnsi="Arial" w:cs="Arial"/>
          <w:sz w:val="22"/>
          <w:szCs w:val="22"/>
          <w:lang w:val="ru-RU"/>
        </w:rPr>
        <w:t>:</w:t>
      </w:r>
    </w:p>
    <w:p w:rsidR="00D85F65" w:rsidRPr="00295D8C" w:rsidRDefault="00D85F65" w:rsidP="00D85F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E6060">
        <w:rPr>
          <w:rFonts w:ascii="Arial" w:hAnsi="Arial"/>
          <w:lang w:val="sr-Cyrl-RS"/>
        </w:rPr>
        <w:t xml:space="preserve">Набавка хемикалија </w:t>
      </w:r>
      <w:r>
        <w:rPr>
          <w:rFonts w:ascii="Arial" w:hAnsi="Arial"/>
          <w:lang w:val="sr-Cyrl-RS"/>
        </w:rPr>
        <w:t>и опреме за лабораторију ТЕНТ А</w:t>
      </w:r>
    </w:p>
    <w:p w:rsidR="00C6690C" w:rsidRPr="00295D8C" w:rsidRDefault="00C6690C" w:rsidP="00D85F6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D85F6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D85F65" w:rsidRDefault="00D85F65" w:rsidP="00897B7E">
      <w:pPr>
        <w:jc w:val="both"/>
        <w:rPr>
          <w:rFonts w:ascii="Arial" w:hAnsi="Arial" w:cs="Arial"/>
          <w:sz w:val="22"/>
          <w:szCs w:val="22"/>
        </w:rPr>
      </w:pPr>
      <w:r w:rsidRPr="00D85F65">
        <w:rPr>
          <w:rFonts w:ascii="Arial" w:hAnsi="Arial" w:cs="Arial"/>
          <w:sz w:val="22"/>
          <w:szCs w:val="22"/>
          <w:lang w:val="sr-Cyrl-RS"/>
        </w:rPr>
        <w:t>Тачка 3</w:t>
      </w:r>
      <w:r w:rsidRPr="00D85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Pr="00D85F65">
        <w:rPr>
          <w:rFonts w:ascii="Arial" w:hAnsi="Arial" w:cs="Arial"/>
          <w:sz w:val="22"/>
          <w:szCs w:val="22"/>
        </w:rPr>
        <w:t xml:space="preserve"> </w:t>
      </w:r>
      <w:r w:rsidR="006848E6">
        <w:rPr>
          <w:rFonts w:ascii="Arial" w:hAnsi="Arial" w:cs="Arial"/>
          <w:sz w:val="22"/>
          <w:szCs w:val="22"/>
        </w:rPr>
        <w:t>Техничке карактеристике</w:t>
      </w:r>
      <w:r w:rsidRPr="00D85F65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086BCA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D85F65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6690C" w:rsidRPr="00D85F65">
        <w:rPr>
          <w:rFonts w:ascii="Arial" w:hAnsi="Arial" w:cs="Arial"/>
          <w:sz w:val="22"/>
          <w:szCs w:val="22"/>
        </w:rPr>
        <w:t>мења</w:t>
      </w:r>
      <w:r w:rsidRPr="00D85F65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="00C6690C" w:rsidRPr="00D85F65">
        <w:rPr>
          <w:rFonts w:ascii="Arial" w:hAnsi="Arial" w:cs="Arial"/>
          <w:sz w:val="22"/>
          <w:szCs w:val="22"/>
        </w:rPr>
        <w:t xml:space="preserve">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D85F6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D85F65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086BCA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bookmarkStart w:id="0" w:name="_GoBack"/>
      <w:bookmarkEnd w:id="0"/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Pr="00D85F65" w:rsidRDefault="00D85F65" w:rsidP="00D85F65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85F65">
        <w:rPr>
          <w:rFonts w:ascii="Arial" w:hAnsi="Arial" w:cs="Arial"/>
          <w:b/>
          <w:sz w:val="22"/>
          <w:szCs w:val="22"/>
        </w:rPr>
        <w:t>ТЕХНИЧКА</w:t>
      </w:r>
      <w:r w:rsidRPr="00D85F6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85F65">
        <w:rPr>
          <w:rFonts w:ascii="Arial" w:hAnsi="Arial" w:cs="Arial"/>
          <w:b/>
          <w:sz w:val="22"/>
          <w:szCs w:val="22"/>
        </w:rPr>
        <w:t>СПЕЦИФИКАЦИЈА</w:t>
      </w:r>
    </w:p>
    <w:p w:rsidR="00D85F65" w:rsidRPr="00D85F65" w:rsidRDefault="00D85F65" w:rsidP="00D85F6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D85F65">
        <w:rPr>
          <w:rFonts w:ascii="Arial" w:hAnsi="Arial"/>
          <w:b/>
          <w:sz w:val="22"/>
          <w:szCs w:val="22"/>
          <w:lang w:val="sr-Cyrl-RS"/>
        </w:rPr>
        <w:t xml:space="preserve">3.1.Врста </w:t>
      </w:r>
      <w:r w:rsidRPr="00D85F65">
        <w:rPr>
          <w:rFonts w:ascii="Arial" w:hAnsi="Arial"/>
          <w:b/>
          <w:sz w:val="22"/>
          <w:szCs w:val="22"/>
          <w:lang w:val="sr-Latn-RS"/>
        </w:rPr>
        <w:t xml:space="preserve"> </w:t>
      </w:r>
      <w:r w:rsidRPr="00D85F65">
        <w:rPr>
          <w:rFonts w:ascii="Arial" w:hAnsi="Arial"/>
          <w:b/>
          <w:sz w:val="22"/>
          <w:szCs w:val="22"/>
          <w:lang w:val="sr-Cyrl-RS"/>
        </w:rPr>
        <w:t>добара:</w:t>
      </w:r>
    </w:p>
    <w:p w:rsidR="00D85F65" w:rsidRPr="00D85F65" w:rsidRDefault="00D85F65" w:rsidP="00D85F6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401"/>
      </w:tblGrid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Ставка у налогу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Опис артикла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Калијум нитрат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 KNO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Бакар сулфат,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CuSO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x5H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Ацетон,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(CH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)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CO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тил алкохол,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5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OH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Хлороводонична киселина,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HCl 37%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Стандардни раствор мангана,1000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mg/l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Калијум тиоцијанат,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KCNS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Неслеров реагенс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Амонијум персулфат,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(NH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)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8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D85F65" w:rsidRPr="001206F4" w:rsidRDefault="00D85F65" w:rsidP="001206F4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5F65">
              <w:rPr>
                <w:rFonts w:ascii="Arial" w:hAnsi="Arial" w:cs="Arial"/>
                <w:sz w:val="22"/>
                <w:szCs w:val="22"/>
                <w:lang w:val="sr-Cyrl-RS"/>
              </w:rPr>
              <w:t>Пуферски раствор рН 4,01</w:t>
            </w:r>
            <w:r w:rsidR="001206F4" w:rsidRPr="001206F4">
              <w:rPr>
                <w:rFonts w:ascii="Arial" w:hAnsi="Arial" w:cs="Arial"/>
                <w:sz w:val="22"/>
                <w:szCs w:val="22"/>
              </w:rPr>
              <w:t xml:space="preserve"> за калибрацију пХ – метр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Пуферски раствор рН 7,01</w:t>
            </w:r>
            <w:r w:rsidR="001206F4" w:rsidRPr="001206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 калибрацију пХ – метр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 за калибрацију кондуктометра 1413µ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S/cm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 за чување електрода за мерење рН, електропроводљивости и раствореног кисеоника у води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 за чишћење електрода за мерење рН, електропроводљивости и раствореног кисеоника у води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Скроб растворљиви,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(C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6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10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5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)n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Сребро нитрат,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AgNO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стандардни волуметријски раствор 0,1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mol/l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Амонијум хидроксид,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OH 24%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Натријум тиосулфат,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Na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– 0,1N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Формазин 4000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NTU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Чепови стаклени брушени за испиралице за гасове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NS 29/32</w:t>
            </w:r>
            <w:r w:rsidR="001206F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-100ml.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Славина за боцу за дестиловану воду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NS 29/32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Рукавице латекс за једнократну употребу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XL  –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паковање од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100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23.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Боца капалица од 60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ml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 пипетом и гумицом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PVC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шприц боца од 500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Филтер папир за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BaSO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ранг: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Ederol filter No 3, Macherey-Nagel 640md, Whatman 43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 125mm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паковање од 100 листова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Филтер папир за општу примену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ранг: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Macherey-Nagel 6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17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 Whatman No4, Ahlstrom 631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 110mm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паковање од 100 листова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27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Пипета са клипом градуисана од 10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28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85F65" w:rsidRPr="00086BCA" w:rsidRDefault="00086BCA" w:rsidP="00086BC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86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Чаша лабораторијска стаклена од 5 </w:t>
            </w:r>
            <w:r w:rsidRPr="00086BC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l</w:t>
            </w:r>
            <w:r w:rsidRPr="00086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29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Нормални суд од 250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ml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са пластичним чепом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Нагибна пипета по Кипу од 5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Нагибна пипета по Кипу од 10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Лабораторијски дигитални тајмер са подешавањем времена мин. до 60 минута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33.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Мулти тестер са електродама за мерење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pH,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електропроводљивости и раствореног кисеоника у води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pH</w:t>
            </w: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: 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опсег мерења 0 – 14, резолуција 0,01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електропроводљивост: 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опсег мерења 0 – мин.2000 µ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S/cm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резолуција 1 µ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S/cm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растворени кисеоник: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опсег мерења 0 – 20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mg/l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резолуција 0,1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mg/l</w:t>
            </w:r>
          </w:p>
        </w:tc>
      </w:tr>
    </w:tbl>
    <w:p w:rsidR="00D85F65" w:rsidRPr="00D85F65" w:rsidRDefault="00D85F65" w:rsidP="00D85F65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 xml:space="preserve">Све хемикалије треба да буду </w:t>
      </w:r>
      <w:r w:rsidRPr="00D85F65">
        <w:rPr>
          <w:rFonts w:ascii="Arial" w:eastAsia="Calibri" w:hAnsi="Arial" w:cs="Arial"/>
          <w:sz w:val="22"/>
          <w:szCs w:val="22"/>
          <w:lang w:val="sr-Latn-RS" w:eastAsia="en-US"/>
        </w:rPr>
        <w:t>-P A</w:t>
      </w: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>. Квалитета</w:t>
      </w: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85F65">
        <w:rPr>
          <w:rFonts w:ascii="Arial" w:eastAsia="Calibri" w:hAnsi="Arial" w:cs="Arial"/>
          <w:b/>
          <w:sz w:val="22"/>
          <w:szCs w:val="22"/>
          <w:lang w:val="sr-Cyrl-RS" w:eastAsia="en-US"/>
        </w:rPr>
        <w:t>Документа која треба доставити уз испоруку добара:</w:t>
      </w: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>За све хемикалије доставити безбедносне листе</w:t>
      </w: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>За ставке 13, 14, 25, 26, 32 и 33 доставити техничку спецификацију</w:t>
      </w:r>
    </w:p>
    <w:p w:rsidR="00D85F65" w:rsidRPr="00D85F65" w:rsidRDefault="00D85F65" w:rsidP="00D85F6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D85F65" w:rsidRPr="00D85F65" w:rsidRDefault="00D85F65" w:rsidP="00D85F6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85F65">
        <w:rPr>
          <w:rFonts w:ascii="Arial" w:hAnsi="Arial" w:cs="Arial"/>
          <w:b/>
          <w:sz w:val="22"/>
          <w:szCs w:val="22"/>
          <w:lang w:val="en-US" w:eastAsia="en-US"/>
        </w:rPr>
        <w:t>3.2 Рок испоруке добара</w:t>
      </w:r>
      <w:r w:rsidRPr="00D85F65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D85F65" w:rsidRPr="00D85F65" w:rsidRDefault="00D85F65" w:rsidP="00D85F65">
      <w:pPr>
        <w:suppressAutoHyphens w:val="0"/>
        <w:spacing w:before="120"/>
        <w:ind w:left="709" w:hanging="709"/>
        <w:outlineLvl w:val="0"/>
        <w:rPr>
          <w:rFonts w:ascii="Arial" w:hAnsi="Arial"/>
          <w:sz w:val="22"/>
          <w:szCs w:val="22"/>
          <w:lang w:val="en-US"/>
        </w:rPr>
      </w:pPr>
      <w:bookmarkStart w:id="1" w:name="_Toc441651542"/>
      <w:bookmarkStart w:id="2" w:name="_Toc442559880"/>
      <w:r w:rsidRPr="00D85F65">
        <w:rPr>
          <w:rFonts w:ascii="Arial" w:hAnsi="Arial" w:cs="Arial"/>
          <w:bCs/>
          <w:sz w:val="22"/>
          <w:szCs w:val="22"/>
          <w:lang w:val="sr-Cyrl-RS"/>
        </w:rPr>
        <w:t>Рок испоруке  не може бити  дужи  од 60 дана о дана ступања уговора на снагу</w:t>
      </w:r>
    </w:p>
    <w:p w:rsidR="00D85F65" w:rsidRPr="00D85F65" w:rsidRDefault="00D85F65" w:rsidP="00D85F65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D85F65">
        <w:rPr>
          <w:rFonts w:ascii="Arial" w:hAnsi="Arial"/>
          <w:b/>
          <w:sz w:val="22"/>
          <w:szCs w:val="22"/>
          <w:lang w:val="en-US"/>
        </w:rPr>
        <w:t xml:space="preserve">3.3.  </w:t>
      </w:r>
      <w:r w:rsidRPr="00D85F65">
        <w:rPr>
          <w:rFonts w:ascii="Arial" w:hAnsi="Arial"/>
          <w:b/>
          <w:sz w:val="22"/>
          <w:szCs w:val="22"/>
        </w:rPr>
        <w:t>Место испоруке добара</w:t>
      </w:r>
      <w:bookmarkEnd w:id="1"/>
      <w:bookmarkEnd w:id="2"/>
      <w:r w:rsidRPr="00D85F65">
        <w:rPr>
          <w:rFonts w:ascii="Arial" w:hAnsi="Arial"/>
          <w:b/>
          <w:sz w:val="22"/>
          <w:szCs w:val="22"/>
          <w:lang w:val="sr-Cyrl-RS"/>
        </w:rPr>
        <w:t>:</w:t>
      </w:r>
    </w:p>
    <w:p w:rsidR="00D85F65" w:rsidRPr="00D85F65" w:rsidRDefault="00D85F65" w:rsidP="00D85F65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D85F65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Локација – ТЕНТ А-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Богољуба Урошевића Црног бр.44, Обреновац, 11500 Обреновац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 xml:space="preserve"> и друге локације Наручиоца</w:t>
      </w:r>
      <w:r w:rsidRPr="00D85F65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D85F65" w:rsidRDefault="00D85F65" w:rsidP="00D85F65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D85F65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3.4 Квантитативни пријем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Наручилац о тачном датуму испоруке најмање 7 радна дана пре планираног датума испоруке.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Отпремницеипровером</w:t>
      </w:r>
      <w:r w:rsidRPr="00D85F65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е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а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D85F65" w:rsidRPr="00D85F65" w:rsidRDefault="00D85F65" w:rsidP="00D85F65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D85F65">
        <w:rPr>
          <w:rFonts w:ascii="Arial" w:hAnsi="Arial" w:cs="Arial"/>
          <w:b/>
          <w:sz w:val="22"/>
          <w:szCs w:val="22"/>
          <w:lang w:val="en-US" w:eastAsia="en-US"/>
        </w:rPr>
        <w:t>3.5 Квалитативни пријем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85F65">
        <w:rPr>
          <w:rFonts w:ascii="Arial" w:hAnsi="Arial" w:cs="Arial"/>
          <w:sz w:val="22"/>
          <w:szCs w:val="22"/>
          <w:lang w:eastAsia="en-US"/>
        </w:rPr>
        <w:t>је обавез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ан</w:t>
      </w:r>
      <w:r w:rsidRPr="00D85F65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D85F65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D85F65">
        <w:rPr>
          <w:rFonts w:ascii="Arial" w:hAnsi="Arial" w:cs="Arial"/>
          <w:sz w:val="22"/>
          <w:szCs w:val="22"/>
          <w:lang w:eastAsia="en-US"/>
        </w:rPr>
        <w:t>, 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Када се, после  извршеног квалитативног  пријема, покаже да испоручено добро има неки скривени недостатак,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стави приговор на квалитет без одлагања, чим утврди недостатак. 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 xml:space="preserve">Изабрани понуђач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је обавезан да у року од 7 (седам) дана од дана пријема приговора из става 3. и става 4. овог члана, писмено обавести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 Поред тога, и независно од тога,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одговара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</w:t>
      </w:r>
      <w:r w:rsidRPr="00D85F65">
        <w:rPr>
          <w:rFonts w:ascii="Arial" w:hAnsi="Arial" w:cs="Arial"/>
          <w:sz w:val="22"/>
          <w:szCs w:val="22"/>
          <w:lang w:val="en-US" w:eastAsia="en-US"/>
        </w:rPr>
        <w:lastRenderedPageBreak/>
        <w:t>недостатака на испорученом добру, претрпео на другим својим добрима и то према општим правилима о одговорности за штету.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>, чији је узрок постојао пре преузимања (скривене мане).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Изабрани понуђач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је 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обавезан да писаним путем обавести Наручиоца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o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 датуму пријемног испитивања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>/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квалитативног 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 xml:space="preserve">пријема најмање 5 радних дана пре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планираног термина испитивања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 xml:space="preserve">/пријема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и да уз позив достави предлог Плана пријемног испитивања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>/квалитативног пријема</w:t>
      </w:r>
      <w:r w:rsidRPr="00D85F65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ће формирати Стручни радни тим до 3 (три) члана који ће код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/произвођача или неком другом месту нпр. акредитованој лабораторији, извршити пријемно испитивање/квалитативни пријем у складу са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важећим стандардима за предмет уговора.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Уколико пријем предметних добара не буде успешно извршен,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у обавези да у најкраћем року отклони све евентуалне недостатке и примедбе које утврди Стручни радни тим, а док се ти недостаци не отклоне, сматраће се да испорука није извршена у року. 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BA" w:eastAsia="en-US"/>
        </w:rPr>
      </w:pP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Након извршеног пријемног испитивања</w:t>
      </w:r>
      <w:r w:rsidRPr="00D85F65">
        <w:rPr>
          <w:rFonts w:ascii="Arial" w:hAnsi="Arial" w:cs="Arial"/>
          <w:bCs/>
          <w:kern w:val="28"/>
          <w:sz w:val="22"/>
          <w:szCs w:val="22"/>
          <w:lang w:val="sr-Cyrl-BA" w:eastAsia="en-US"/>
        </w:rPr>
        <w:t>/квалитатиног пријема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(по отклањању евентуалних примедби), Стручни радни тим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представник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састављају и потписују Записник о пријемном испитивању/квалитативном пријему</w:t>
      </w:r>
      <w:r w:rsidRPr="00D85F65">
        <w:rPr>
          <w:rFonts w:ascii="Arial" w:hAnsi="Arial" w:cs="Arial"/>
          <w:bCs/>
          <w:kern w:val="28"/>
          <w:sz w:val="22"/>
          <w:szCs w:val="22"/>
          <w:lang w:val="sr-Cyrl-BA" w:eastAsia="en-US"/>
        </w:rPr>
        <w:t>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en-US" w:eastAsia="en-US"/>
        </w:rPr>
      </w:pP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Трошкове процеса пријемног испитивања/квалитативног пријема, као и трошкове превоза, смештаја и исхране Стручног радног тима сноси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>.</w:t>
      </w:r>
    </w:p>
    <w:p w:rsidR="00D85F65" w:rsidRPr="00D85F65" w:rsidRDefault="00D85F65" w:rsidP="00D85F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numPr>
          <w:ilvl w:val="1"/>
          <w:numId w:val="10"/>
        </w:numPr>
        <w:suppressAutoHyphens w:val="0"/>
        <w:spacing w:before="120" w:after="200" w:line="276" w:lineRule="auto"/>
        <w:contextualSpacing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sr-Cyrl-RS" w:eastAsia="hr-HR"/>
        </w:rPr>
      </w:pPr>
      <w:bookmarkStart w:id="3" w:name="_Toc441651543"/>
      <w:bookmarkStart w:id="4" w:name="_Toc442559881"/>
      <w:r w:rsidRPr="00D85F65">
        <w:rPr>
          <w:rFonts w:ascii="Arial" w:eastAsia="Calibri" w:hAnsi="Arial" w:cs="Arial"/>
          <w:b/>
          <w:bCs/>
          <w:sz w:val="22"/>
          <w:szCs w:val="22"/>
          <w:lang w:val="sr-Latn-CS" w:eastAsia="hr-HR"/>
        </w:rPr>
        <w:t>Гарантни рок</w:t>
      </w:r>
      <w:bookmarkEnd w:id="3"/>
      <w:bookmarkEnd w:id="4"/>
    </w:p>
    <w:p w:rsidR="00D85F65" w:rsidRPr="00D85F65" w:rsidRDefault="00D85F65" w:rsidP="00D85F65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  <w:r w:rsidRPr="00D85F65">
        <w:rPr>
          <w:rFonts w:ascii="Arial" w:hAnsi="Arial" w:cs="Arial"/>
          <w:sz w:val="22"/>
          <w:szCs w:val="22"/>
          <w:lang w:val="sr-Cyrl-RS" w:eastAsia="hr-HR"/>
        </w:rPr>
        <w:t>Гарантни рок мора бити најмање 12 месеци од дана испоруке добара.</w:t>
      </w:r>
    </w:p>
    <w:p w:rsidR="00D85F65" w:rsidRPr="00D85F65" w:rsidRDefault="00D85F65" w:rsidP="00D85F65">
      <w:pPr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D85F65">
        <w:rPr>
          <w:rFonts w:ascii="Arial" w:hAnsi="Arial" w:cs="Arial"/>
          <w:sz w:val="22"/>
          <w:szCs w:val="22"/>
          <w:lang w:eastAsia="zh-CN"/>
        </w:rPr>
        <w:t>Изабрани Понуђач је дужан да о свом трошку отклони све евентуалне недостатке у току трајања гарантног рока.</w:t>
      </w: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6848E6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1E" w:rsidRDefault="00C6711E" w:rsidP="00F717AF">
      <w:r>
        <w:separator/>
      </w:r>
    </w:p>
  </w:endnote>
  <w:endnote w:type="continuationSeparator" w:id="0">
    <w:p w:rsidR="00C6711E" w:rsidRDefault="00C6711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85F65" w:rsidRDefault="00C6690C" w:rsidP="00D85F65">
    <w:pPr>
      <w:pStyle w:val="Footer"/>
      <w:tabs>
        <w:tab w:val="left" w:pos="3431"/>
        <w:tab w:val="right" w:pos="9074"/>
      </w:tabs>
      <w:rPr>
        <w:i/>
        <w:color w:val="4F81BD"/>
        <w:sz w:val="20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85F65" w:rsidRPr="00D85F65">
      <w:rPr>
        <w:rFonts w:ascii="Arial" w:hAnsi="Arial"/>
        <w:b/>
        <w:sz w:val="18"/>
        <w:szCs w:val="18"/>
      </w:rPr>
      <w:t>3000/</w:t>
    </w:r>
    <w:r w:rsidR="00D85F65" w:rsidRPr="00D85F65">
      <w:rPr>
        <w:rFonts w:ascii="Arial" w:hAnsi="Arial"/>
        <w:b/>
        <w:sz w:val="18"/>
        <w:szCs w:val="18"/>
        <w:lang w:val="sr-Latn-RS"/>
      </w:rPr>
      <w:t xml:space="preserve"> 0886</w:t>
    </w:r>
    <w:r w:rsidR="00D85F65" w:rsidRPr="00D85F65">
      <w:rPr>
        <w:rFonts w:ascii="Arial" w:hAnsi="Arial"/>
        <w:b/>
        <w:sz w:val="18"/>
        <w:szCs w:val="18"/>
      </w:rPr>
      <w:t>/2017 (</w:t>
    </w:r>
    <w:r w:rsidR="00D85F65" w:rsidRPr="00D85F65">
      <w:rPr>
        <w:rFonts w:ascii="Arial" w:hAnsi="Arial"/>
        <w:b/>
        <w:sz w:val="18"/>
        <w:szCs w:val="18"/>
        <w:lang w:val="sr-Latn-RS"/>
      </w:rPr>
      <w:t>2059</w:t>
    </w:r>
    <w:r w:rsidR="00D85F65" w:rsidRPr="00D85F65">
      <w:rPr>
        <w:rFonts w:ascii="Arial" w:hAnsi="Arial"/>
        <w:b/>
        <w:sz w:val="18"/>
        <w:szCs w:val="18"/>
      </w:rPr>
      <w:t>/2017)</w:t>
    </w:r>
    <w:r w:rsidR="00D85F65" w:rsidRPr="00295D8C">
      <w:rPr>
        <w:rFonts w:ascii="Arial" w:hAnsi="Arial" w:cs="Arial"/>
        <w:sz w:val="22"/>
        <w:szCs w:val="22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</w:p>
  <w:p w:rsidR="00C6690C" w:rsidRPr="005403F3" w:rsidRDefault="00086BCA" w:rsidP="00D85F65">
    <w:pPr>
      <w:pStyle w:val="Footer"/>
      <w:tabs>
        <w:tab w:val="left" w:pos="3431"/>
        <w:tab w:val="right" w:pos="9074"/>
      </w:tabs>
      <w:rPr>
        <w:i/>
      </w:rPr>
    </w:pPr>
    <w:r>
      <w:rPr>
        <w:i/>
        <w:color w:val="4F81BD"/>
        <w:sz w:val="20"/>
      </w:rPr>
      <w:t>друга</w:t>
    </w:r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</w:t>
    </w:r>
    <w:r w:rsidR="00D85F65">
      <w:rPr>
        <w:i/>
        <w:sz w:val="20"/>
        <w:lang w:val="sr-Cyrl-RS"/>
      </w:rPr>
      <w:t xml:space="preserve">                                         </w:t>
    </w:r>
    <w:r w:rsidR="00C6690C">
      <w:rPr>
        <w:i/>
        <w:sz w:val="20"/>
      </w:rPr>
      <w:t xml:space="preserve">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96761E">
      <w:rPr>
        <w:i/>
        <w:noProof/>
      </w:rPr>
      <w:t>5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96761E">
      <w:rPr>
        <w:i/>
        <w:noProof/>
      </w:rPr>
      <w:t>6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1E" w:rsidRDefault="00C6711E" w:rsidP="00F717AF">
      <w:r>
        <w:separator/>
      </w:r>
    </w:p>
  </w:footnote>
  <w:footnote w:type="continuationSeparator" w:id="0">
    <w:p w:rsidR="00C6711E" w:rsidRDefault="00C6711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6711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6761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6761E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59ED"/>
    <w:multiLevelType w:val="hybridMultilevel"/>
    <w:tmpl w:val="C1B2812E"/>
    <w:lvl w:ilvl="0" w:tplc="6AE44C0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76ED4695"/>
    <w:multiLevelType w:val="multilevel"/>
    <w:tmpl w:val="3ADC60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BC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834"/>
    <w:rsid w:val="001057F4"/>
    <w:rsid w:val="001110E4"/>
    <w:rsid w:val="00114E1F"/>
    <w:rsid w:val="001206F4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D35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8E6"/>
    <w:rsid w:val="0068525E"/>
    <w:rsid w:val="00685BC8"/>
    <w:rsid w:val="0068618E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61E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025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11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5F65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7E03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41FDB"/>
  <w15:docId w15:val="{51333815-AF6B-42CC-AA7E-4FEF00B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85F6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32</cp:revision>
  <cp:lastPrinted>2014-12-19T09:46:00Z</cp:lastPrinted>
  <dcterms:created xsi:type="dcterms:W3CDTF">2015-07-01T14:16:00Z</dcterms:created>
  <dcterms:modified xsi:type="dcterms:W3CDTF">2018-02-19T08:23:00Z</dcterms:modified>
</cp:coreProperties>
</file>