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5F1F31">
        <w:rPr>
          <w:rFonts w:ascii="Arial" w:hAnsi="Arial" w:cs="Arial"/>
          <w:b/>
          <w:i/>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5F1F31" w:rsidRPr="005F1F31" w:rsidRDefault="00C6690C" w:rsidP="005F1F31">
      <w:pPr>
        <w:pStyle w:val="Title"/>
        <w:rPr>
          <w:rFonts w:ascii="Arial" w:hAnsi="Arial" w:cs="Arial"/>
          <w:b w:val="0"/>
          <w:sz w:val="22"/>
          <w:szCs w:val="22"/>
        </w:rPr>
      </w:pPr>
      <w:r w:rsidRPr="005F1F31">
        <w:rPr>
          <w:rFonts w:ascii="Arial" w:hAnsi="Arial" w:cs="Arial"/>
          <w:b w:val="0"/>
          <w:sz w:val="22"/>
          <w:szCs w:val="22"/>
        </w:rPr>
        <w:t xml:space="preserve">ЗА ЈАВНУ НАБАВКУ </w:t>
      </w:r>
      <w:r w:rsidR="005F1F31" w:rsidRPr="005F1F31">
        <w:rPr>
          <w:rFonts w:ascii="Arial" w:hAnsi="Arial" w:cs="Arial"/>
          <w:b w:val="0"/>
          <w:sz w:val="22"/>
          <w:szCs w:val="22"/>
        </w:rPr>
        <w:t>УСЛУГА</w:t>
      </w:r>
      <w:r w:rsidR="005F1F31" w:rsidRPr="005F1F31">
        <w:rPr>
          <w:rFonts w:ascii="Arial" w:hAnsi="Arial" w:cs="Arial"/>
          <w:b w:val="0"/>
          <w:sz w:val="22"/>
          <w:szCs w:val="22"/>
          <w:lang w:val="sr-Cyrl-RS"/>
        </w:rPr>
        <w:t>:</w:t>
      </w:r>
      <w:r w:rsidRPr="00295D8C">
        <w:rPr>
          <w:rFonts w:ascii="Arial" w:hAnsi="Arial" w:cs="Arial"/>
          <w:sz w:val="22"/>
          <w:szCs w:val="22"/>
          <w:lang w:val="ru-RU"/>
        </w:rPr>
        <w:t xml:space="preserve"> </w:t>
      </w:r>
      <w:r w:rsidR="005F1F31" w:rsidRPr="005F1F31">
        <w:rPr>
          <w:rFonts w:ascii="Arial" w:hAnsi="Arial" w:cs="Arial"/>
          <w:b w:val="0"/>
          <w:sz w:val="22"/>
          <w:szCs w:val="22"/>
          <w:lang w:val="sr-Cyrl-RS"/>
        </w:rPr>
        <w:t>Фабрички ремонт лептирастих затварача ВЦ1С1  ВЦ2С1 блока А4 ТЕНТ-А</w:t>
      </w:r>
    </w:p>
    <w:p w:rsidR="00C6690C" w:rsidRPr="005F1F31"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5F1F31"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5F1F31">
        <w:rPr>
          <w:rFonts w:ascii="Arial" w:hAnsi="Arial" w:cs="Arial"/>
          <w:sz w:val="22"/>
          <w:szCs w:val="22"/>
        </w:rPr>
        <w:t>НАБАВКА</w:t>
      </w:r>
      <w:r w:rsidR="005F1F31">
        <w:rPr>
          <w:rFonts w:ascii="Arial" w:hAnsi="Arial" w:cs="Arial"/>
          <w:sz w:val="22"/>
          <w:szCs w:val="22"/>
          <w:lang w:val="sr-Cyrl-RS"/>
        </w:rPr>
        <w:t>: 3000/0971/2018(69/2018)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5F1F31" w:rsidRPr="005F1F31" w:rsidRDefault="005F1F31" w:rsidP="00F717AF">
      <w:pPr>
        <w:pStyle w:val="BodyText"/>
        <w:rPr>
          <w:rFonts w:ascii="Arial" w:hAnsi="Arial" w:cs="Arial"/>
          <w:sz w:val="22"/>
          <w:szCs w:val="22"/>
          <w:lang w:val="sr-Cyrl-RS"/>
        </w:rPr>
      </w:pPr>
    </w:p>
    <w:p w:rsidR="00C6690C" w:rsidRPr="005F1F31" w:rsidRDefault="005F1F31" w:rsidP="00334C09">
      <w:pPr>
        <w:pStyle w:val="BodyText"/>
        <w:jc w:val="center"/>
        <w:rPr>
          <w:rFonts w:ascii="Arial" w:hAnsi="Arial" w:cs="Arial"/>
          <w:sz w:val="22"/>
          <w:szCs w:val="22"/>
          <w:lang w:val="sr-Cyrl-RS"/>
        </w:rPr>
      </w:pPr>
      <w:r>
        <w:rPr>
          <w:rFonts w:ascii="Arial" w:hAnsi="Arial" w:cs="Arial"/>
          <w:sz w:val="22"/>
          <w:szCs w:val="22"/>
          <w:lang w:val="sr-Cyrl-RS"/>
        </w:rPr>
        <w:t xml:space="preserve">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5F1F31" w:rsidP="00F717AF">
      <w:pPr>
        <w:pStyle w:val="BodyText"/>
        <w:rPr>
          <w:rFonts w:ascii="Arial" w:hAnsi="Arial" w:cs="Arial"/>
          <w:sz w:val="22"/>
          <w:szCs w:val="22"/>
          <w:lang w:val="ru-RU"/>
        </w:rPr>
      </w:pPr>
      <w:r>
        <w:rPr>
          <w:rFonts w:ascii="Arial" w:hAnsi="Arial" w:cs="Arial"/>
          <w:sz w:val="22"/>
          <w:szCs w:val="22"/>
          <w:lang w:val="sr-Cyrl-RS"/>
        </w:rPr>
        <w:t xml:space="preserve">                        </w:t>
      </w:r>
      <w:r>
        <w:rPr>
          <w:rFonts w:ascii="Arial" w:hAnsi="Arial" w:cs="Arial"/>
          <w:sz w:val="22"/>
          <w:szCs w:val="22"/>
        </w:rPr>
        <w:t xml:space="preserve">(број </w:t>
      </w:r>
      <w:r>
        <w:rPr>
          <w:rFonts w:ascii="Arial" w:hAnsi="Arial" w:cs="Arial"/>
          <w:sz w:val="22"/>
          <w:szCs w:val="22"/>
          <w:lang w:val="sr-Cyrl-RS"/>
        </w:rPr>
        <w:t>105-Е.03.01-91640/</w:t>
      </w:r>
      <w:r w:rsidR="006A1E65">
        <w:rPr>
          <w:rFonts w:ascii="Arial" w:hAnsi="Arial" w:cs="Arial"/>
          <w:sz w:val="22"/>
          <w:szCs w:val="22"/>
          <w:lang w:val="sr-Latn-RS"/>
        </w:rPr>
        <w:t>8-2018</w:t>
      </w:r>
      <w:r>
        <w:rPr>
          <w:rFonts w:ascii="Arial" w:hAnsi="Arial" w:cs="Arial"/>
          <w:sz w:val="22"/>
          <w:szCs w:val="22"/>
          <w:lang w:val="sr-Cyrl-RS"/>
        </w:rPr>
        <w:t xml:space="preserve"> </w:t>
      </w:r>
      <w:r>
        <w:rPr>
          <w:rFonts w:ascii="Arial" w:hAnsi="Arial" w:cs="Arial"/>
          <w:sz w:val="22"/>
          <w:szCs w:val="22"/>
        </w:rPr>
        <w:t xml:space="preserve"> од </w:t>
      </w:r>
      <w:r>
        <w:rPr>
          <w:rFonts w:ascii="Arial" w:hAnsi="Arial" w:cs="Arial"/>
          <w:sz w:val="22"/>
          <w:szCs w:val="22"/>
          <w:lang w:val="sr-Cyrl-RS"/>
        </w:rPr>
        <w:t>09.03.2018</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lang w:val="ru-RU"/>
        </w:rPr>
      </w:pPr>
    </w:p>
    <w:p w:rsidR="00C6690C" w:rsidRPr="00295D8C" w:rsidRDefault="005F1F31" w:rsidP="005F1F31">
      <w:pPr>
        <w:rPr>
          <w:rFonts w:ascii="Arial" w:hAnsi="Arial" w:cs="Arial"/>
          <w:i/>
          <w:sz w:val="22"/>
          <w:szCs w:val="22"/>
        </w:rPr>
      </w:pPr>
      <w:r>
        <w:rPr>
          <w:rFonts w:ascii="Arial" w:hAnsi="Arial" w:cs="Arial"/>
          <w:sz w:val="22"/>
          <w:szCs w:val="22"/>
          <w:lang w:val="sr-Cyrl-RS"/>
        </w:rPr>
        <w:t xml:space="preserve">                                    </w:t>
      </w:r>
      <w:r>
        <w:rPr>
          <w:rFonts w:ascii="Arial" w:hAnsi="Arial" w:cs="Arial"/>
          <w:i/>
          <w:sz w:val="22"/>
          <w:szCs w:val="22"/>
          <w:lang w:val="sr-Cyrl-RS"/>
        </w:rPr>
        <w:t>Обреновац</w:t>
      </w:r>
      <w:r w:rsidR="00C6690C" w:rsidRPr="00295D8C">
        <w:rPr>
          <w:rFonts w:ascii="Arial" w:hAnsi="Arial" w:cs="Arial"/>
          <w:i/>
          <w:sz w:val="22"/>
          <w:szCs w:val="22"/>
        </w:rPr>
        <w:t xml:space="preserve">, </w:t>
      </w:r>
      <w:r>
        <w:rPr>
          <w:rFonts w:ascii="Arial" w:hAnsi="Arial" w:cs="Arial"/>
          <w:i/>
          <w:sz w:val="22"/>
          <w:szCs w:val="22"/>
          <w:lang w:val="sr-Cyrl-RS"/>
        </w:rPr>
        <w:t>09.03.</w:t>
      </w:r>
      <w:r w:rsidR="00E07723" w:rsidRPr="00295D8C">
        <w:rPr>
          <w:rFonts w:ascii="Arial" w:hAnsi="Arial" w:cs="Arial"/>
          <w:i/>
          <w:sz w:val="22"/>
          <w:szCs w:val="22"/>
        </w:rPr>
        <w:t>20</w:t>
      </w:r>
      <w:r>
        <w:rPr>
          <w:rFonts w:ascii="Arial" w:hAnsi="Arial" w:cs="Arial"/>
          <w:i/>
          <w:sz w:val="22"/>
          <w:szCs w:val="22"/>
          <w:lang w:val="sr-Cyrl-RS"/>
        </w:rPr>
        <w:t>18</w:t>
      </w:r>
      <w:r w:rsidR="00C6690C" w:rsidRPr="00295D8C">
        <w:rPr>
          <w:rFonts w:ascii="Arial" w:hAnsi="Arial" w:cs="Arial"/>
          <w:i/>
          <w:sz w:val="22"/>
          <w:szCs w:val="22"/>
        </w:rPr>
        <w:t xml:space="preserve">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5F1F31">
        <w:rPr>
          <w:rFonts w:ascii="Arial" w:hAnsi="Arial" w:cs="Arial"/>
          <w:b/>
          <w:i/>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5F1F31" w:rsidRPr="005F1F31" w:rsidRDefault="00C6690C" w:rsidP="005F1F31">
      <w:pPr>
        <w:pStyle w:val="Title"/>
        <w:rPr>
          <w:rFonts w:ascii="Arial" w:hAnsi="Arial" w:cs="Arial"/>
          <w:b w:val="0"/>
          <w:sz w:val="22"/>
          <w:szCs w:val="22"/>
        </w:rPr>
      </w:pPr>
      <w:r w:rsidRPr="00295D8C">
        <w:rPr>
          <w:rFonts w:ascii="Arial" w:hAnsi="Arial" w:cs="Arial"/>
          <w:sz w:val="22"/>
          <w:szCs w:val="22"/>
        </w:rPr>
        <w:t>за јавну набавку</w:t>
      </w:r>
      <w:r w:rsidR="005F1F31">
        <w:rPr>
          <w:rFonts w:ascii="Arial" w:hAnsi="Arial" w:cs="Arial"/>
          <w:sz w:val="22"/>
          <w:szCs w:val="22"/>
          <w:lang w:val="ru-RU"/>
        </w:rPr>
        <w:t xml:space="preserve">: </w:t>
      </w:r>
      <w:r w:rsidR="005F1F31" w:rsidRPr="005F1F31">
        <w:rPr>
          <w:rFonts w:ascii="Arial" w:hAnsi="Arial" w:cs="Arial"/>
          <w:b w:val="0"/>
          <w:sz w:val="22"/>
          <w:szCs w:val="22"/>
          <w:lang w:val="sr-Cyrl-RS"/>
        </w:rPr>
        <w:t>Фабрички ремонт лептирастих затварача ВЦ1С1  ВЦ2С1 блока А4 ТЕНТ-А</w:t>
      </w:r>
    </w:p>
    <w:p w:rsidR="00C6690C" w:rsidRPr="005F1F31" w:rsidRDefault="00C6690C" w:rsidP="00DF23B4">
      <w:pPr>
        <w:pStyle w:val="BodyText"/>
        <w:jc w:val="center"/>
        <w:rPr>
          <w:rFonts w:ascii="Arial" w:hAnsi="Arial" w:cs="Arial"/>
          <w:sz w:val="22"/>
          <w:szCs w:val="22"/>
          <w:lang w:val="sr-Cyrl-RS"/>
        </w:rPr>
      </w:pP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BA5861" w:rsidRDefault="00BA5861" w:rsidP="000F38BA">
      <w:pPr>
        <w:ind w:firstLine="706"/>
        <w:jc w:val="both"/>
        <w:rPr>
          <w:rFonts w:ascii="Arial" w:hAnsi="Arial" w:cs="Arial"/>
          <w:sz w:val="22"/>
          <w:szCs w:val="22"/>
          <w:lang w:val="sr-Cyrl-RS"/>
        </w:rPr>
      </w:pPr>
      <w:r>
        <w:rPr>
          <w:rFonts w:ascii="Arial" w:hAnsi="Arial" w:cs="Arial"/>
          <w:sz w:val="22"/>
          <w:szCs w:val="22"/>
          <w:lang w:val="sr-Cyrl-RS"/>
        </w:rPr>
        <w:t>Наручилац врши измену конкурсне документације у делу: УСЛОВИ ЗА УЧЕШЋЕ У ПОСТУПКУ ЈАВНЕ НАБАВКЕ ИЗ ЧЛ.75 И 76 ЗАКОНА О ЈАВНИМ НАБАВКАМА И УПУТСТВО КАКО СЕ ДОКАЗУЈЕ ИСПУЊЕНОСТ ТИХ УСЛОВА, која се односи на тачку 4.2 ДОДАТНИ УСЛОВИ  ЗА УЧЕШЋЕ У ПОСТУПКУ ЈАВНЕ НАБАВКЕ ИЗ ЧЛАНА 76. ЗАКОНА – Технички капацитет. И он сада гласи:</w:t>
      </w:r>
    </w:p>
    <w:p w:rsidR="00C6690C" w:rsidRPr="00295D8C" w:rsidRDefault="00C6690C" w:rsidP="00AA51DA">
      <w:pPr>
        <w:jc w:val="center"/>
        <w:rPr>
          <w:rFonts w:ascii="Arial" w:hAnsi="Arial" w:cs="Arial"/>
          <w:sz w:val="22"/>
          <w:szCs w:val="22"/>
        </w:rPr>
      </w:pPr>
      <w:r w:rsidRPr="00295D8C">
        <w:rPr>
          <w:rFonts w:ascii="Arial" w:hAnsi="Arial" w:cs="Arial"/>
          <w:sz w:val="22"/>
          <w:szCs w:val="22"/>
        </w:rPr>
        <w:t>2.</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E4ECB" w:rsidRPr="005E4ECB" w:rsidTr="00824C6B">
        <w:trPr>
          <w:jc w:val="center"/>
        </w:trPr>
        <w:tc>
          <w:tcPr>
            <w:tcW w:w="729" w:type="dxa"/>
            <w:vAlign w:val="center"/>
          </w:tcPr>
          <w:p w:rsidR="005E4ECB" w:rsidRPr="005E4ECB" w:rsidRDefault="005E4ECB" w:rsidP="005E4ECB">
            <w:pPr>
              <w:suppressAutoHyphens w:val="0"/>
              <w:spacing w:before="120"/>
              <w:jc w:val="center"/>
              <w:rPr>
                <w:rFonts w:ascii="Arial" w:hAnsi="Arial" w:cs="Arial"/>
                <w:color w:val="00B0F0"/>
                <w:sz w:val="22"/>
                <w:szCs w:val="22"/>
                <w:lang w:val="en-US" w:eastAsia="en-US"/>
              </w:rPr>
            </w:pPr>
          </w:p>
        </w:tc>
        <w:tc>
          <w:tcPr>
            <w:tcW w:w="8430" w:type="dxa"/>
          </w:tcPr>
          <w:p w:rsidR="005E4ECB" w:rsidRPr="005E4ECB" w:rsidRDefault="005E4ECB" w:rsidP="005E4ECB">
            <w:pPr>
              <w:suppressAutoHyphens w:val="0"/>
              <w:spacing w:before="120"/>
              <w:ind w:right="-180"/>
              <w:jc w:val="center"/>
              <w:rPr>
                <w:rFonts w:ascii="Arial" w:hAnsi="Arial" w:cs="Arial"/>
                <w:b/>
                <w:sz w:val="22"/>
                <w:szCs w:val="22"/>
                <w:lang w:val="sr-Latn-CS" w:eastAsia="sr-Latn-CS"/>
              </w:rPr>
            </w:pPr>
            <w:r w:rsidRPr="005E4ECB">
              <w:rPr>
                <w:rFonts w:ascii="Arial" w:hAnsi="Arial" w:cs="Arial"/>
                <w:b/>
                <w:sz w:val="22"/>
                <w:szCs w:val="22"/>
                <w:lang w:val="sr-Latn-CS" w:eastAsia="sr-Latn-CS"/>
              </w:rPr>
              <w:t xml:space="preserve">4.2  ДОДАТНИ УСЛОВИ </w:t>
            </w:r>
          </w:p>
          <w:p w:rsidR="005E4ECB" w:rsidRPr="005E4ECB" w:rsidRDefault="005E4ECB" w:rsidP="005E4ECB">
            <w:pPr>
              <w:suppressAutoHyphens w:val="0"/>
              <w:snapToGrid w:val="0"/>
              <w:spacing w:before="120"/>
              <w:jc w:val="center"/>
              <w:rPr>
                <w:rFonts w:ascii="Arial" w:hAnsi="Arial" w:cs="Arial"/>
                <w:b/>
                <w:color w:val="00B0F0"/>
                <w:sz w:val="22"/>
                <w:szCs w:val="22"/>
                <w:lang w:val="sr-Cyrl-RS" w:eastAsia="sr-Latn-CS"/>
              </w:rPr>
            </w:pPr>
            <w:r w:rsidRPr="005E4ECB">
              <w:rPr>
                <w:rFonts w:ascii="Arial" w:hAnsi="Arial" w:cs="Arial"/>
                <w:b/>
                <w:sz w:val="22"/>
                <w:szCs w:val="22"/>
                <w:lang w:val="sr-Latn-CS" w:eastAsia="sr-Latn-CS"/>
              </w:rPr>
              <w:t>ЗА УЧЕШЋЕ У ПОСТУПКУ ЈАВНЕ НАБАВКЕ ИЗ ЧЛАНА 76. ЗАКОНА</w:t>
            </w:r>
          </w:p>
        </w:tc>
      </w:tr>
      <w:tr w:rsidR="005E4ECB" w:rsidRPr="005E4ECB" w:rsidTr="00824C6B">
        <w:trPr>
          <w:trHeight w:val="1160"/>
          <w:jc w:val="center"/>
        </w:trPr>
        <w:tc>
          <w:tcPr>
            <w:tcW w:w="729" w:type="dxa"/>
            <w:vAlign w:val="center"/>
          </w:tcPr>
          <w:p w:rsidR="005E4ECB" w:rsidRPr="005E4ECB" w:rsidRDefault="005E4ECB" w:rsidP="005E4ECB">
            <w:pPr>
              <w:suppressAutoHyphens w:val="0"/>
              <w:spacing w:before="120"/>
              <w:jc w:val="center"/>
              <w:rPr>
                <w:rFonts w:ascii="Arial" w:hAnsi="Arial" w:cs="Arial"/>
                <w:color w:val="00B0F0"/>
                <w:sz w:val="22"/>
                <w:szCs w:val="22"/>
                <w:lang w:val="en-US" w:eastAsia="en-US"/>
              </w:rPr>
            </w:pPr>
            <w:r w:rsidRPr="005E4ECB">
              <w:rPr>
                <w:rFonts w:ascii="Arial" w:hAnsi="Arial" w:cs="Arial"/>
                <w:sz w:val="22"/>
                <w:szCs w:val="22"/>
                <w:lang w:val="sr-Cyrl-RS" w:eastAsia="en-US"/>
              </w:rPr>
              <w:t>5</w:t>
            </w:r>
            <w:r w:rsidRPr="005E4ECB">
              <w:rPr>
                <w:rFonts w:ascii="Arial" w:hAnsi="Arial" w:cs="Arial"/>
                <w:sz w:val="22"/>
                <w:szCs w:val="22"/>
                <w:lang w:val="en-US" w:eastAsia="en-US"/>
              </w:rPr>
              <w:t>.</w:t>
            </w:r>
          </w:p>
        </w:tc>
        <w:tc>
          <w:tcPr>
            <w:tcW w:w="8430" w:type="dxa"/>
          </w:tcPr>
          <w:p w:rsidR="005E4ECB" w:rsidRPr="005E4ECB" w:rsidRDefault="005E4ECB" w:rsidP="005E4ECB">
            <w:pPr>
              <w:suppressAutoHyphens w:val="0"/>
              <w:autoSpaceDE w:val="0"/>
              <w:autoSpaceDN w:val="0"/>
              <w:adjustRightInd w:val="0"/>
              <w:spacing w:before="120"/>
              <w:rPr>
                <w:rFonts w:ascii="Arial" w:hAnsi="Arial" w:cs="Arial"/>
                <w:sz w:val="22"/>
                <w:szCs w:val="22"/>
                <w:lang w:val="sr-Cyrl-RS" w:eastAsia="sr-Latn-CS"/>
              </w:rPr>
            </w:pPr>
            <w:r w:rsidRPr="005E4ECB">
              <w:rPr>
                <w:rFonts w:ascii="Arial" w:hAnsi="Arial" w:cs="Arial"/>
                <w:b/>
                <w:sz w:val="22"/>
                <w:szCs w:val="22"/>
                <w:lang w:val="sr-Latn-CS" w:eastAsia="sr-Latn-CS"/>
              </w:rPr>
              <w:t>T</w:t>
            </w:r>
            <w:r w:rsidRPr="005E4ECB">
              <w:rPr>
                <w:rFonts w:ascii="Arial" w:hAnsi="Arial" w:cs="Arial"/>
                <w:b/>
                <w:sz w:val="22"/>
                <w:szCs w:val="22"/>
                <w:lang w:val="sr-Cyrl-RS" w:eastAsia="sr-Latn-CS"/>
              </w:rPr>
              <w:t>ехнички</w:t>
            </w:r>
            <w:r w:rsidRPr="005E4ECB">
              <w:rPr>
                <w:rFonts w:ascii="Arial" w:hAnsi="Arial" w:cs="Arial"/>
                <w:b/>
                <w:sz w:val="22"/>
                <w:szCs w:val="22"/>
                <w:lang w:val="sr-Latn-CS" w:eastAsia="sr-Latn-CS"/>
              </w:rPr>
              <w:t xml:space="preserve"> капацитет</w:t>
            </w:r>
            <w:r w:rsidRPr="005E4ECB">
              <w:rPr>
                <w:rFonts w:ascii="Arial" w:hAnsi="Arial" w:cs="Arial"/>
                <w:b/>
                <w:sz w:val="22"/>
                <w:szCs w:val="22"/>
                <w:lang w:val="sr-Cyrl-RS" w:eastAsia="sr-Latn-CS"/>
              </w:rPr>
              <w:t>:</w:t>
            </w:r>
            <w:r w:rsidRPr="005E4ECB">
              <w:rPr>
                <w:rFonts w:ascii="Arial" w:hAnsi="Arial" w:cs="Arial"/>
                <w:sz w:val="22"/>
                <w:szCs w:val="22"/>
                <w:lang w:val="sr-Cyrl-RS" w:eastAsia="sr-Latn-CS"/>
              </w:rPr>
              <w:t>Понуђач мора поседовати у власништву или закупу следеће</w:t>
            </w:r>
          </w:p>
          <w:p w:rsidR="005E4ECB" w:rsidRPr="005E4ECB" w:rsidRDefault="005E4ECB" w:rsidP="005E4ECB">
            <w:pPr>
              <w:suppressAutoHyphens w:val="0"/>
              <w:autoSpaceDE w:val="0"/>
              <w:autoSpaceDN w:val="0"/>
              <w:adjustRightInd w:val="0"/>
              <w:spacing w:before="120"/>
              <w:jc w:val="both"/>
              <w:rPr>
                <w:rFonts w:ascii="Arial" w:hAnsi="Arial" w:cs="Arial"/>
                <w:b/>
                <w:sz w:val="22"/>
                <w:szCs w:val="22"/>
                <w:lang w:val="sr-Cyrl-RS" w:eastAsia="sr-Latn-CS"/>
              </w:rPr>
            </w:pPr>
            <w:r w:rsidRPr="005E4ECB">
              <w:rPr>
                <w:rFonts w:ascii="Arial" w:hAnsi="Arial" w:cs="Arial"/>
                <w:b/>
                <w:sz w:val="22"/>
                <w:szCs w:val="22"/>
                <w:u w:val="single"/>
                <w:lang w:val="sr-Latn-CS" w:eastAsia="sr-Latn-CS"/>
              </w:rPr>
              <w:t>Услов:</w:t>
            </w:r>
            <w:r w:rsidRPr="005E4ECB">
              <w:rPr>
                <w:rFonts w:ascii="Arial" w:hAnsi="Arial" w:cs="Arial"/>
                <w:sz w:val="22"/>
                <w:szCs w:val="22"/>
                <w:lang w:val="sr-Latn-CS" w:eastAsia="sr-Latn-CS"/>
              </w:rPr>
              <w:t xml:space="preserve"> </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Latn-RS" w:eastAsia="sr-Latn-CS"/>
              </w:rPr>
            </w:pPr>
            <w:r w:rsidRPr="005E4ECB">
              <w:rPr>
                <w:rFonts w:ascii="Arial" w:hAnsi="Arial" w:cs="Arial"/>
                <w:sz w:val="22"/>
                <w:szCs w:val="22"/>
                <w:lang w:val="sr-Cyrl-RS" w:eastAsia="sr-Latn-CS"/>
              </w:rPr>
              <w:t>- Мостна дизалица минимум 15</w:t>
            </w:r>
            <w:r w:rsidRPr="005E4ECB">
              <w:rPr>
                <w:rFonts w:ascii="Arial" w:hAnsi="Arial" w:cs="Arial"/>
                <w:sz w:val="22"/>
                <w:szCs w:val="22"/>
                <w:lang w:val="sr-Latn-RS" w:eastAsia="sr-Latn-CS"/>
              </w:rPr>
              <w:t>t</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Latn-RS" w:eastAsia="sr-Latn-CS"/>
              </w:rPr>
            </w:pPr>
            <w:r w:rsidRPr="005E4ECB">
              <w:rPr>
                <w:rFonts w:ascii="Arial" w:hAnsi="Arial" w:cs="Arial"/>
                <w:sz w:val="22"/>
                <w:szCs w:val="22"/>
                <w:lang w:val="sr-Latn-RS" w:eastAsia="sr-Latn-CS"/>
              </w:rPr>
              <w:t>-</w:t>
            </w:r>
            <w:r w:rsidRPr="005E4ECB">
              <w:rPr>
                <w:rFonts w:ascii="Arial" w:hAnsi="Arial" w:cs="Arial"/>
                <w:sz w:val="22"/>
                <w:szCs w:val="22"/>
                <w:lang w:val="sr-Cyrl-RS" w:eastAsia="sr-Latn-CS"/>
              </w:rPr>
              <w:t xml:space="preserve">Струг – карусел минимум </w:t>
            </w:r>
            <w:r w:rsidRPr="005E4ECB">
              <w:rPr>
                <w:rFonts w:ascii="Arial" w:hAnsi="Arial" w:cs="Arial"/>
                <w:sz w:val="22"/>
                <w:szCs w:val="22"/>
                <w:lang w:val="sr-Latn-RS" w:eastAsia="sr-Latn-CS"/>
              </w:rPr>
              <w:t>Fi 3000</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Latn-RS" w:eastAsia="sr-Latn-CS"/>
              </w:rPr>
            </w:pPr>
            <w:r w:rsidRPr="005E4ECB">
              <w:rPr>
                <w:rFonts w:ascii="Arial" w:hAnsi="Arial" w:cs="Arial"/>
                <w:sz w:val="22"/>
                <w:szCs w:val="22"/>
                <w:lang w:val="sr-Latn-RS" w:eastAsia="sr-Latn-CS"/>
              </w:rPr>
              <w:t>-A</w:t>
            </w:r>
            <w:r w:rsidRPr="005E4ECB">
              <w:rPr>
                <w:rFonts w:ascii="Arial" w:hAnsi="Arial" w:cs="Arial"/>
                <w:sz w:val="22"/>
                <w:szCs w:val="22"/>
                <w:lang w:val="sr-Cyrl-RS" w:eastAsia="sr-Latn-CS"/>
              </w:rPr>
              <w:t xml:space="preserve">парати за заваривање </w:t>
            </w:r>
            <w:r w:rsidRPr="005E4ECB">
              <w:rPr>
                <w:rFonts w:ascii="Arial" w:hAnsi="Arial" w:cs="Arial"/>
                <w:sz w:val="22"/>
                <w:szCs w:val="22"/>
                <w:lang w:val="sr-Latn-RS" w:eastAsia="sr-Latn-CS"/>
              </w:rPr>
              <w:t xml:space="preserve">ELR </w:t>
            </w:r>
            <w:r w:rsidRPr="005E4ECB">
              <w:rPr>
                <w:rFonts w:ascii="Arial" w:hAnsi="Arial" w:cs="Arial"/>
                <w:sz w:val="22"/>
                <w:szCs w:val="22"/>
                <w:lang w:val="sr-Cyrl-RS" w:eastAsia="sr-Latn-CS"/>
              </w:rPr>
              <w:t xml:space="preserve">и </w:t>
            </w:r>
            <w:r w:rsidRPr="005E4ECB">
              <w:rPr>
                <w:rFonts w:ascii="Arial" w:hAnsi="Arial" w:cs="Arial"/>
                <w:sz w:val="22"/>
                <w:szCs w:val="22"/>
                <w:lang w:val="sr-Latn-RS" w:eastAsia="sr-Latn-CS"/>
              </w:rPr>
              <w:t xml:space="preserve">WIG 2 </w:t>
            </w:r>
            <w:r w:rsidRPr="005E4ECB">
              <w:rPr>
                <w:rFonts w:ascii="Arial" w:hAnsi="Arial" w:cs="Arial"/>
                <w:sz w:val="22"/>
                <w:szCs w:val="22"/>
                <w:lang w:val="sr-Cyrl-RS" w:eastAsia="sr-Latn-CS"/>
              </w:rPr>
              <w:t>комада</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Cyrl-RS" w:eastAsia="sr-Latn-CS"/>
              </w:rPr>
            </w:pPr>
            <w:r w:rsidRPr="005E4ECB">
              <w:rPr>
                <w:rFonts w:ascii="Arial" w:hAnsi="Arial" w:cs="Arial"/>
                <w:sz w:val="22"/>
                <w:szCs w:val="22"/>
                <w:lang w:val="sr-Latn-RS" w:eastAsia="sr-Latn-CS"/>
              </w:rPr>
              <w:t>-A</w:t>
            </w:r>
            <w:r w:rsidRPr="005E4ECB">
              <w:rPr>
                <w:rFonts w:ascii="Arial" w:hAnsi="Arial" w:cs="Arial"/>
                <w:sz w:val="22"/>
                <w:szCs w:val="22"/>
                <w:lang w:val="sr-Cyrl-RS" w:eastAsia="sr-Latn-CS"/>
              </w:rPr>
              <w:t>парат за оджаривање и предгревање 1 комад</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Cyrl-RS" w:eastAsia="sr-Latn-CS"/>
              </w:rPr>
            </w:pPr>
            <w:r w:rsidRPr="005E4ECB">
              <w:rPr>
                <w:rFonts w:ascii="Arial" w:hAnsi="Arial" w:cs="Arial"/>
                <w:sz w:val="22"/>
                <w:szCs w:val="22"/>
                <w:lang w:val="sr-Latn-RS" w:eastAsia="sr-Latn-CS"/>
              </w:rPr>
              <w:t>-</w:t>
            </w:r>
            <w:r w:rsidRPr="005E4ECB">
              <w:rPr>
                <w:rFonts w:ascii="Arial" w:hAnsi="Arial" w:cs="Arial"/>
                <w:sz w:val="22"/>
                <w:szCs w:val="22"/>
                <w:lang w:val="sr-Cyrl-RS" w:eastAsia="sr-Latn-CS"/>
              </w:rPr>
              <w:t>Струг универзални радне дужине мин. 1,5</w:t>
            </w:r>
            <w:r w:rsidRPr="005E4ECB">
              <w:rPr>
                <w:rFonts w:ascii="Arial" w:hAnsi="Arial" w:cs="Arial"/>
                <w:sz w:val="22"/>
                <w:szCs w:val="22"/>
                <w:lang w:val="sr-Latn-RS" w:eastAsia="sr-Latn-CS"/>
              </w:rPr>
              <w:t>m 1</w:t>
            </w:r>
            <w:r w:rsidRPr="005E4ECB">
              <w:rPr>
                <w:rFonts w:ascii="Arial" w:hAnsi="Arial" w:cs="Arial"/>
                <w:sz w:val="22"/>
                <w:szCs w:val="22"/>
                <w:lang w:val="sr-Cyrl-RS" w:eastAsia="sr-Latn-CS"/>
              </w:rPr>
              <w:t>комад</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Cyrl-RS" w:eastAsia="sr-Latn-CS"/>
              </w:rPr>
            </w:pPr>
            <w:r w:rsidRPr="005E4ECB">
              <w:rPr>
                <w:rFonts w:ascii="Arial" w:hAnsi="Arial" w:cs="Arial"/>
                <w:sz w:val="22"/>
                <w:szCs w:val="22"/>
                <w:lang w:val="sr-Cyrl-RS" w:eastAsia="sr-Latn-CS"/>
              </w:rPr>
              <w:t>-Глодалица универзална 1 комад</w:t>
            </w:r>
          </w:p>
          <w:p w:rsidR="005E4ECB" w:rsidRPr="005E4ECB" w:rsidRDefault="005E4ECB" w:rsidP="005E4ECB">
            <w:pPr>
              <w:suppressAutoHyphens w:val="0"/>
              <w:autoSpaceDE w:val="0"/>
              <w:autoSpaceDN w:val="0"/>
              <w:adjustRightInd w:val="0"/>
              <w:spacing w:before="120"/>
              <w:jc w:val="both"/>
              <w:rPr>
                <w:rFonts w:ascii="Arial" w:hAnsi="Arial" w:cs="Arial"/>
                <w:sz w:val="22"/>
                <w:szCs w:val="22"/>
                <w:lang w:val="sr-Cyrl-RS" w:eastAsia="sr-Latn-CS"/>
              </w:rPr>
            </w:pPr>
            <w:r w:rsidRPr="005E4ECB">
              <w:rPr>
                <w:rFonts w:ascii="Arial" w:hAnsi="Arial" w:cs="Arial"/>
                <w:sz w:val="22"/>
                <w:szCs w:val="22"/>
                <w:lang w:val="sr-Cyrl-RS" w:eastAsia="sr-Latn-CS"/>
              </w:rPr>
              <w:t>-Бушилица НВ – борверк 1 комад</w:t>
            </w:r>
          </w:p>
          <w:p w:rsidR="005E4ECB" w:rsidRPr="005E4ECB" w:rsidRDefault="005E4ECB" w:rsidP="005E4ECB">
            <w:pPr>
              <w:suppressAutoHyphens w:val="0"/>
              <w:autoSpaceDE w:val="0"/>
              <w:autoSpaceDN w:val="0"/>
              <w:adjustRightInd w:val="0"/>
              <w:spacing w:before="120"/>
              <w:jc w:val="both"/>
              <w:rPr>
                <w:rFonts w:ascii="Arial" w:hAnsi="Arial" w:cs="Arial"/>
                <w:b/>
                <w:sz w:val="22"/>
                <w:szCs w:val="22"/>
                <w:lang w:val="sr-Cyrl-RS" w:eastAsia="sr-Latn-CS"/>
              </w:rPr>
            </w:pPr>
            <w:r w:rsidRPr="005E4ECB">
              <w:rPr>
                <w:rFonts w:ascii="Arial" w:hAnsi="Arial" w:cs="Arial"/>
                <w:sz w:val="22"/>
                <w:szCs w:val="22"/>
                <w:lang w:val="sr-Cyrl-RS" w:eastAsia="sr-Latn-CS"/>
              </w:rPr>
              <w:t>-Опрема за испитивање арматуре под притиском – испитни сто или клипна пумпа са баждареним манометром</w:t>
            </w:r>
          </w:p>
          <w:p w:rsidR="005E4ECB" w:rsidRPr="005E4ECB" w:rsidRDefault="005E4ECB" w:rsidP="005E4ECB">
            <w:pPr>
              <w:suppressAutoHyphens w:val="0"/>
              <w:autoSpaceDE w:val="0"/>
              <w:autoSpaceDN w:val="0"/>
              <w:adjustRightInd w:val="0"/>
              <w:spacing w:before="120"/>
              <w:jc w:val="both"/>
              <w:rPr>
                <w:rFonts w:ascii="Arial" w:hAnsi="Arial" w:cs="Arial"/>
                <w:b/>
                <w:sz w:val="22"/>
                <w:szCs w:val="22"/>
                <w:u w:val="single"/>
                <w:lang w:val="sr-Cyrl-RS" w:eastAsia="sr-Latn-CS"/>
              </w:rPr>
            </w:pPr>
            <w:r w:rsidRPr="005E4ECB">
              <w:rPr>
                <w:rFonts w:ascii="Arial" w:hAnsi="Arial" w:cs="Arial"/>
                <w:b/>
                <w:sz w:val="22"/>
                <w:szCs w:val="22"/>
                <w:u w:val="single"/>
                <w:lang w:val="sr-Latn-CS" w:eastAsia="sr-Latn-CS"/>
              </w:rPr>
              <w:t xml:space="preserve">Доказ: </w:t>
            </w:r>
          </w:p>
          <w:p w:rsidR="005E4ECB" w:rsidRDefault="005E4ECB" w:rsidP="005E4ECB">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5E4ECB">
              <w:rPr>
                <w:rFonts w:ascii="Arial" w:eastAsia="Calibri" w:hAnsi="Arial" w:cs="Arial"/>
                <w:sz w:val="22"/>
                <w:szCs w:val="22"/>
                <w:lang w:val="sr-Cyrl-RS" w:eastAsia="sr-Latn-CS"/>
              </w:rPr>
              <w:t xml:space="preserve">Потписан и оверен списак са детаљним техничким описом, фабричким бројевима, атестима ИЛИ извод из картице основних средстава на дан 31.12.2017. године </w:t>
            </w:r>
          </w:p>
          <w:p w:rsidR="005E4ECB" w:rsidRPr="005E4ECB" w:rsidRDefault="005E4ECB" w:rsidP="005E4ECB">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Pr>
                <w:rFonts w:ascii="Arial" w:eastAsia="Calibri" w:hAnsi="Arial" w:cs="Arial"/>
                <w:sz w:val="22"/>
                <w:szCs w:val="22"/>
                <w:lang w:val="sr-Cyrl-RS" w:eastAsia="sr-Latn-CS"/>
              </w:rPr>
              <w:t>Уговор о закупу (уколико је опрема закупљена)</w:t>
            </w:r>
          </w:p>
          <w:p w:rsidR="005E4ECB" w:rsidRDefault="005E4ECB" w:rsidP="005E4ECB">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5E4ECB">
              <w:rPr>
                <w:rFonts w:ascii="Arial" w:eastAsia="Calibri" w:hAnsi="Arial" w:cs="Arial"/>
                <w:sz w:val="22"/>
                <w:szCs w:val="22"/>
                <w:lang w:val="sr-Cyrl-RS" w:eastAsia="sr-Latn-CS"/>
              </w:rPr>
              <w:t>Потврде  о извршеним периодичним прегледима са лиценцом овлашћене установе  и лица која су вршила преглед опреме</w:t>
            </w:r>
          </w:p>
          <w:p w:rsidR="005E4ECB" w:rsidRDefault="005E4ECB" w:rsidP="005E4ECB">
            <w:pPr>
              <w:suppressAutoHyphens w:val="0"/>
              <w:autoSpaceDE w:val="0"/>
              <w:autoSpaceDN w:val="0"/>
              <w:adjustRightInd w:val="0"/>
              <w:jc w:val="both"/>
              <w:rPr>
                <w:rFonts w:ascii="Arial" w:eastAsia="Calibri" w:hAnsi="Arial" w:cs="Arial"/>
                <w:sz w:val="22"/>
                <w:szCs w:val="22"/>
                <w:lang w:val="sr-Cyrl-RS" w:eastAsia="sr-Latn-CS"/>
              </w:rPr>
            </w:pPr>
          </w:p>
          <w:p w:rsidR="005E4ECB" w:rsidRPr="005E4ECB" w:rsidRDefault="005E4ECB" w:rsidP="005E4ECB">
            <w:pPr>
              <w:suppressAutoHyphens w:val="0"/>
              <w:autoSpaceDE w:val="0"/>
              <w:autoSpaceDN w:val="0"/>
              <w:adjustRightInd w:val="0"/>
              <w:jc w:val="both"/>
              <w:rPr>
                <w:rFonts w:ascii="Arial" w:hAnsi="Arial" w:cs="Arial"/>
                <w:sz w:val="22"/>
                <w:szCs w:val="22"/>
                <w:lang w:val="sr-Cyrl-RS" w:eastAsia="sr-Latn-CS"/>
              </w:rPr>
            </w:pPr>
            <w:r>
              <w:rPr>
                <w:rFonts w:ascii="Arial" w:eastAsia="Calibri" w:hAnsi="Arial" w:cs="Arial"/>
                <w:sz w:val="22"/>
                <w:szCs w:val="22"/>
                <w:lang w:val="sr-Cyrl-RS" w:eastAsia="sr-Latn-CS"/>
              </w:rPr>
              <w:lastRenderedPageBreak/>
              <w:t xml:space="preserve">      </w:t>
            </w:r>
            <w:r w:rsidRPr="005E4ECB">
              <w:rPr>
                <w:rFonts w:ascii="Arial" w:hAnsi="Arial" w:cs="Arial"/>
                <w:b/>
                <w:sz w:val="22"/>
                <w:szCs w:val="22"/>
                <w:u w:val="single"/>
                <w:lang w:val="sr-Latn-CS" w:eastAsia="sr-Latn-CS"/>
              </w:rPr>
              <w:t>Напомена:</w:t>
            </w:r>
          </w:p>
          <w:p w:rsidR="005E4ECB" w:rsidRPr="005E4ECB" w:rsidRDefault="005E4ECB" w:rsidP="005E4ECB">
            <w:pPr>
              <w:numPr>
                <w:ilvl w:val="0"/>
                <w:numId w:val="10"/>
              </w:numPr>
              <w:suppressAutoHyphens w:val="0"/>
              <w:snapToGrid w:val="0"/>
              <w:spacing w:before="120"/>
              <w:jc w:val="both"/>
              <w:rPr>
                <w:rFonts w:ascii="Arial" w:hAnsi="Arial" w:cs="Arial"/>
                <w:sz w:val="22"/>
                <w:szCs w:val="22"/>
                <w:lang w:val="sr-Latn-CS" w:eastAsia="sr-Latn-CS"/>
              </w:rPr>
            </w:pPr>
            <w:r w:rsidRPr="005E4ECB">
              <w:rPr>
                <w:rFonts w:ascii="Arial" w:hAnsi="Arial" w:cs="Arial"/>
                <w:sz w:val="22"/>
                <w:szCs w:val="22"/>
                <w:lang w:val="sr-Latn-CS" w:eastAsia="sr-Latn-CS"/>
              </w:rPr>
              <w:t>У случају да понуду подноси група понуђача, доказ</w:t>
            </w:r>
            <w:r w:rsidRPr="005E4ECB">
              <w:rPr>
                <w:rFonts w:ascii="Arial" w:hAnsi="Arial" w:cs="Arial"/>
                <w:sz w:val="22"/>
                <w:szCs w:val="22"/>
                <w:lang w:val="sr-Cyrl-RS" w:eastAsia="sr-Latn-CS"/>
              </w:rPr>
              <w:t>е</w:t>
            </w:r>
            <w:r w:rsidRPr="005E4ECB">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5E4ECB">
              <w:rPr>
                <w:rFonts w:ascii="Arial" w:hAnsi="Arial" w:cs="Arial"/>
                <w:sz w:val="22"/>
                <w:szCs w:val="22"/>
                <w:lang w:val="sr-Cyrl-RS" w:eastAsia="sr-Latn-CS"/>
              </w:rPr>
              <w:t>доказ</w:t>
            </w:r>
            <w:r w:rsidRPr="005E4ECB">
              <w:rPr>
                <w:rFonts w:ascii="Arial" w:hAnsi="Arial" w:cs="Arial"/>
                <w:sz w:val="22"/>
                <w:szCs w:val="22"/>
                <w:lang w:val="sr-Latn-CS" w:eastAsia="sr-Latn-CS"/>
              </w:rPr>
              <w:t>), а уколико више њих заједно испуњавају услов из тачке овај доказ доставити за те чланове.</w:t>
            </w:r>
          </w:p>
          <w:p w:rsidR="005E4ECB" w:rsidRPr="005E4ECB" w:rsidRDefault="005E4ECB" w:rsidP="005E4ECB">
            <w:pPr>
              <w:numPr>
                <w:ilvl w:val="0"/>
                <w:numId w:val="10"/>
              </w:numPr>
              <w:suppressAutoHyphens w:val="0"/>
              <w:snapToGrid w:val="0"/>
              <w:spacing w:before="120"/>
              <w:jc w:val="both"/>
              <w:rPr>
                <w:rFonts w:ascii="Arial" w:hAnsi="Arial" w:cs="Arial"/>
                <w:color w:val="00B0F0"/>
                <w:sz w:val="22"/>
                <w:szCs w:val="22"/>
                <w:lang w:val="sr-Latn-CS" w:eastAsia="sr-Latn-CS"/>
              </w:rPr>
            </w:pPr>
            <w:r w:rsidRPr="005E4ECB">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C6690C" w:rsidRDefault="00C6690C" w:rsidP="00AA51DA">
      <w:pPr>
        <w:jc w:val="center"/>
        <w:rPr>
          <w:rFonts w:ascii="Arial" w:hAnsi="Arial" w:cs="Arial"/>
          <w:sz w:val="22"/>
          <w:szCs w:val="22"/>
          <w:lang w:val="sr-Cyrl-RS"/>
        </w:rPr>
      </w:pPr>
    </w:p>
    <w:p w:rsidR="003842DE" w:rsidRPr="003842DE" w:rsidRDefault="003842DE" w:rsidP="00AA51DA">
      <w:pPr>
        <w:jc w:val="center"/>
        <w:rPr>
          <w:rFonts w:ascii="Arial" w:hAnsi="Arial" w:cs="Arial"/>
          <w:sz w:val="22"/>
          <w:szCs w:val="22"/>
          <w:lang w:val="sr-Cyrl-RS"/>
        </w:rPr>
      </w:pPr>
      <w:bookmarkStart w:id="0" w:name="_GoBack"/>
      <w:bookmarkEnd w:id="0"/>
    </w:p>
    <w:p w:rsidR="00C6690C" w:rsidRPr="00295D8C" w:rsidRDefault="00C6690C" w:rsidP="00AA51DA">
      <w:pPr>
        <w:jc w:val="center"/>
        <w:rPr>
          <w:rFonts w:ascii="Arial" w:hAnsi="Arial" w:cs="Arial"/>
          <w:sz w:val="22"/>
          <w:szCs w:val="22"/>
        </w:rPr>
      </w:pPr>
      <w:r w:rsidRPr="00295D8C">
        <w:rPr>
          <w:rFonts w:ascii="Arial" w:hAnsi="Arial" w:cs="Arial"/>
          <w:sz w:val="22"/>
          <w:szCs w:val="22"/>
        </w:rPr>
        <w:t>3.</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BA5861" w:rsidRDefault="00BA5861" w:rsidP="006A1E65">
      <w:pPr>
        <w:rPr>
          <w:rFonts w:ascii="Arial" w:hAnsi="Arial" w:cs="Arial"/>
          <w:sz w:val="22"/>
          <w:szCs w:val="22"/>
          <w:lang w:val="sr-Cyrl-RS"/>
        </w:rPr>
      </w:pPr>
      <w:r>
        <w:rPr>
          <w:rFonts w:ascii="Arial" w:hAnsi="Arial" w:cs="Arial"/>
          <w:sz w:val="22"/>
          <w:szCs w:val="22"/>
          <w:lang w:val="sr-Cyrl-RS"/>
        </w:rPr>
        <w:t xml:space="preserve">Прилог: Измењени УСЛОВИ ЗА УЧЕШЋЕ У ПОСТУПКУ ЈАВНЕ НАБАВКЕ ИЗ ЧЛ.75. И 76 ЗАКОНА О ЈАВНИМ НАБАВКАМА И УПУТСТВО КАКО СЕ ДОКАЗУЈЕ </w:t>
      </w:r>
      <w:r w:rsidR="006A1E65">
        <w:rPr>
          <w:rFonts w:ascii="Arial" w:hAnsi="Arial" w:cs="Arial"/>
          <w:sz w:val="22"/>
          <w:szCs w:val="22"/>
          <w:lang w:val="sr-Cyrl-RS"/>
        </w:rPr>
        <w:t>И</w:t>
      </w:r>
      <w:r>
        <w:rPr>
          <w:rFonts w:ascii="Arial" w:hAnsi="Arial" w:cs="Arial"/>
          <w:sz w:val="22"/>
          <w:szCs w:val="22"/>
          <w:lang w:val="sr-Cyrl-RS"/>
        </w:rPr>
        <w:t>СПУЊЕНОСТ ТИХ УСЛОВА</w:t>
      </w:r>
    </w:p>
    <w:p w:rsidR="00C6690C" w:rsidRPr="00295D8C" w:rsidRDefault="00C6690C" w:rsidP="00AA51DA">
      <w:pPr>
        <w:jc w:val="both"/>
        <w:rPr>
          <w:rFonts w:ascii="Arial" w:hAnsi="Arial" w:cs="Arial"/>
          <w:sz w:val="22"/>
          <w:szCs w:val="22"/>
        </w:rPr>
      </w:pPr>
    </w:p>
    <w:p w:rsidR="00C6690C" w:rsidRPr="0058157F" w:rsidRDefault="00C6690C" w:rsidP="00DF23B4">
      <w:pPr>
        <w:jc w:val="right"/>
        <w:rPr>
          <w:rFonts w:ascii="Arial" w:hAnsi="Arial" w:cs="Arial"/>
          <w:sz w:val="22"/>
          <w:szCs w:val="22"/>
          <w:lang w:val="en-US"/>
        </w:rPr>
      </w:pPr>
    </w:p>
    <w:p w:rsidR="00EA07F9" w:rsidRPr="00295D8C" w:rsidRDefault="00BA5861" w:rsidP="00EA07F9">
      <w:pPr>
        <w:tabs>
          <w:tab w:val="left" w:pos="6308"/>
          <w:tab w:val="right" w:pos="9904"/>
        </w:tabs>
        <w:suppressAutoHyphens w:val="0"/>
        <w:rPr>
          <w:rFonts w:ascii="Arial" w:hAnsi="Arial" w:cs="Arial"/>
          <w:iCs/>
          <w:sz w:val="22"/>
          <w:szCs w:val="22"/>
          <w:lang w:val="sr-Cyrl-RS" w:eastAsia="en-US"/>
        </w:rPr>
      </w:pPr>
      <w:r>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Cyrl-RS" w:eastAsia="en-US"/>
        </w:rPr>
      </w:pPr>
    </w:p>
    <w:p w:rsidR="00D25072" w:rsidRDefault="00D25072" w:rsidP="00DF23B4">
      <w:pPr>
        <w:rPr>
          <w:rFonts w:ascii="Arial" w:hAnsi="Arial" w:cs="Arial"/>
          <w:sz w:val="22"/>
          <w:szCs w:val="22"/>
          <w:lang w:val="sr-Latn-RS" w:eastAsia="en-US"/>
        </w:rPr>
      </w:pPr>
    </w:p>
    <w:p w:rsidR="006A1E65" w:rsidRDefault="006A1E65" w:rsidP="00DF23B4">
      <w:pPr>
        <w:rPr>
          <w:rFonts w:ascii="Arial" w:hAnsi="Arial" w:cs="Arial"/>
          <w:sz w:val="22"/>
          <w:szCs w:val="22"/>
          <w:lang w:val="sr-Latn-RS" w:eastAsia="en-US"/>
        </w:rPr>
      </w:pPr>
    </w:p>
    <w:p w:rsidR="006A1E65" w:rsidRDefault="006A1E65" w:rsidP="00DF23B4">
      <w:pPr>
        <w:rPr>
          <w:rFonts w:ascii="Arial" w:hAnsi="Arial" w:cs="Arial"/>
          <w:sz w:val="22"/>
          <w:szCs w:val="22"/>
          <w:lang w:val="sr-Latn-RS" w:eastAsia="en-US"/>
        </w:rPr>
      </w:pPr>
    </w:p>
    <w:p w:rsidR="006A1E65" w:rsidRDefault="006A1E65" w:rsidP="00DF23B4">
      <w:pPr>
        <w:rPr>
          <w:rFonts w:ascii="Arial" w:hAnsi="Arial" w:cs="Arial"/>
          <w:sz w:val="22"/>
          <w:szCs w:val="22"/>
          <w:lang w:val="sr-Latn-RS" w:eastAsia="en-US"/>
        </w:rPr>
      </w:pPr>
    </w:p>
    <w:p w:rsidR="006A1E65" w:rsidRPr="006A1E65" w:rsidRDefault="006A1E65" w:rsidP="00DF23B4">
      <w:pPr>
        <w:rPr>
          <w:rFonts w:ascii="Arial" w:hAnsi="Arial" w:cs="Arial"/>
          <w:sz w:val="22"/>
          <w:szCs w:val="22"/>
          <w:lang w:val="sr-Latn-RS" w:eastAsia="en-US"/>
        </w:rPr>
      </w:pPr>
    </w:p>
    <w:p w:rsidR="00D25072" w:rsidRPr="00D25072" w:rsidRDefault="00D25072" w:rsidP="00D25072">
      <w:pPr>
        <w:numPr>
          <w:ilvl w:val="0"/>
          <w:numId w:val="17"/>
        </w:numPr>
        <w:suppressAutoHyphens w:val="0"/>
        <w:spacing w:before="120"/>
        <w:jc w:val="both"/>
        <w:outlineLvl w:val="0"/>
        <w:rPr>
          <w:rFonts w:ascii="Arial" w:hAnsi="Arial" w:cs="Arial"/>
          <w:b/>
          <w:sz w:val="22"/>
          <w:szCs w:val="22"/>
        </w:rPr>
      </w:pPr>
      <w:bookmarkStart w:id="1" w:name="_Toc442559884"/>
      <w:r w:rsidRPr="00D25072">
        <w:rPr>
          <w:rFonts w:ascii="Arial" w:hAnsi="Arial" w:cs="Arial"/>
          <w:b/>
          <w:sz w:val="22"/>
          <w:szCs w:val="2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25072" w:rsidRPr="00D25072" w:rsidTr="00824C6B">
        <w:trPr>
          <w:trHeight w:val="524"/>
          <w:jc w:val="center"/>
        </w:trPr>
        <w:tc>
          <w:tcPr>
            <w:tcW w:w="729" w:type="dxa"/>
            <w:vAlign w:val="center"/>
          </w:tcPr>
          <w:p w:rsidR="00D25072" w:rsidRPr="00D25072" w:rsidRDefault="00D25072" w:rsidP="00D25072">
            <w:pPr>
              <w:suppressAutoHyphens w:val="0"/>
              <w:spacing w:before="120"/>
              <w:jc w:val="center"/>
              <w:rPr>
                <w:rFonts w:ascii="Arial" w:hAnsi="Arial" w:cs="Arial"/>
                <w:b/>
                <w:sz w:val="22"/>
                <w:szCs w:val="22"/>
                <w:lang w:val="en-US" w:eastAsia="en-US"/>
              </w:rPr>
            </w:pPr>
            <w:r w:rsidRPr="00D25072">
              <w:rPr>
                <w:rFonts w:ascii="Arial" w:hAnsi="Arial" w:cs="Arial"/>
                <w:b/>
                <w:sz w:val="22"/>
                <w:szCs w:val="22"/>
                <w:lang w:val="en-US" w:eastAsia="en-US"/>
              </w:rPr>
              <w:t>Ред. бр.</w:t>
            </w:r>
          </w:p>
        </w:tc>
        <w:tc>
          <w:tcPr>
            <w:tcW w:w="8430" w:type="dxa"/>
            <w:vAlign w:val="center"/>
          </w:tcPr>
          <w:p w:rsidR="00D25072" w:rsidRPr="00D25072" w:rsidRDefault="00D25072" w:rsidP="00D25072">
            <w:pPr>
              <w:suppressAutoHyphens w:val="0"/>
              <w:spacing w:before="120"/>
              <w:ind w:right="-180"/>
              <w:jc w:val="center"/>
              <w:rPr>
                <w:rFonts w:ascii="Arial" w:hAnsi="Arial" w:cs="Arial"/>
                <w:b/>
                <w:sz w:val="22"/>
                <w:szCs w:val="22"/>
                <w:lang w:val="en-US" w:eastAsia="en-US"/>
              </w:rPr>
            </w:pPr>
            <w:r w:rsidRPr="00D25072">
              <w:rPr>
                <w:rFonts w:ascii="Arial" w:hAnsi="Arial" w:cs="Arial"/>
                <w:b/>
                <w:sz w:val="22"/>
                <w:szCs w:val="22"/>
                <w:lang w:val="en-US" w:eastAsia="en-US"/>
              </w:rPr>
              <w:t xml:space="preserve">4.1  ОБАВЕЗНИ УСЛОВИ </w:t>
            </w:r>
          </w:p>
          <w:p w:rsidR="00D25072" w:rsidRPr="00D25072" w:rsidRDefault="00D25072" w:rsidP="00D25072">
            <w:pPr>
              <w:suppressAutoHyphens w:val="0"/>
              <w:spacing w:before="120"/>
              <w:jc w:val="center"/>
              <w:rPr>
                <w:rFonts w:ascii="Arial" w:hAnsi="Arial" w:cs="Arial"/>
                <w:b/>
                <w:color w:val="FF0000"/>
                <w:sz w:val="22"/>
                <w:szCs w:val="22"/>
                <w:lang w:val="en-US" w:eastAsia="en-US"/>
              </w:rPr>
            </w:pPr>
            <w:r w:rsidRPr="00D25072">
              <w:rPr>
                <w:rFonts w:ascii="Arial" w:hAnsi="Arial" w:cs="Arial"/>
                <w:b/>
                <w:sz w:val="22"/>
                <w:szCs w:val="22"/>
                <w:lang w:val="en-US" w:eastAsia="en-US"/>
              </w:rPr>
              <w:t>ЗА УЧЕШЋЕ У ПОСТУПКУ ЈАВНЕ НАБАВКЕ ИЗ ЧЛАНА 75. ЗАКОНА</w:t>
            </w:r>
          </w:p>
        </w:tc>
      </w:tr>
      <w:tr w:rsidR="00D25072" w:rsidRPr="00D25072" w:rsidTr="00824C6B">
        <w:trPr>
          <w:jc w:val="center"/>
        </w:trPr>
        <w:tc>
          <w:tcPr>
            <w:tcW w:w="729" w:type="dxa"/>
            <w:vAlign w:val="center"/>
          </w:tcPr>
          <w:p w:rsidR="00D25072" w:rsidRPr="00D25072" w:rsidRDefault="00D25072" w:rsidP="00D25072">
            <w:pPr>
              <w:suppressAutoHyphens w:val="0"/>
              <w:spacing w:before="120"/>
              <w:jc w:val="center"/>
              <w:rPr>
                <w:rFonts w:ascii="Arial" w:hAnsi="Arial" w:cs="Arial"/>
                <w:sz w:val="22"/>
                <w:szCs w:val="22"/>
                <w:lang w:val="en-US" w:eastAsia="en-US"/>
              </w:rPr>
            </w:pPr>
            <w:r w:rsidRPr="00D25072">
              <w:rPr>
                <w:rFonts w:ascii="Arial" w:hAnsi="Arial" w:cs="Arial"/>
                <w:sz w:val="22"/>
                <w:szCs w:val="22"/>
                <w:lang w:val="en-US" w:eastAsia="en-US"/>
              </w:rPr>
              <w:t>1.</w:t>
            </w:r>
          </w:p>
        </w:tc>
        <w:tc>
          <w:tcPr>
            <w:tcW w:w="8430" w:type="dxa"/>
            <w:vAlign w:val="center"/>
          </w:tcPr>
          <w:p w:rsidR="00D25072" w:rsidRPr="00D25072" w:rsidRDefault="00D25072" w:rsidP="00D25072">
            <w:pPr>
              <w:suppressAutoHyphens w:val="0"/>
              <w:autoSpaceDE w:val="0"/>
              <w:autoSpaceDN w:val="0"/>
              <w:adjustRightInd w:val="0"/>
              <w:spacing w:before="120"/>
              <w:jc w:val="both"/>
              <w:rPr>
                <w:rFonts w:ascii="Arial" w:hAnsi="Arial" w:cs="Arial"/>
                <w:b/>
                <w:sz w:val="22"/>
                <w:szCs w:val="22"/>
                <w:u w:val="single"/>
                <w:lang w:val="en-US" w:eastAsia="en-US"/>
              </w:rPr>
            </w:pPr>
            <w:r w:rsidRPr="00D25072">
              <w:rPr>
                <w:rFonts w:ascii="Arial" w:hAnsi="Arial" w:cs="Arial"/>
                <w:b/>
                <w:sz w:val="22"/>
                <w:szCs w:val="22"/>
                <w:u w:val="single"/>
                <w:lang w:val="en-US" w:eastAsia="en-US"/>
              </w:rPr>
              <w:t>Услов:</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en-US" w:eastAsia="en-US"/>
              </w:rPr>
            </w:pPr>
            <w:r w:rsidRPr="00D25072">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D25072" w:rsidRPr="00D25072" w:rsidRDefault="00D25072" w:rsidP="00D25072">
            <w:pPr>
              <w:suppressAutoHyphens w:val="0"/>
              <w:autoSpaceDE w:val="0"/>
              <w:autoSpaceDN w:val="0"/>
              <w:adjustRightInd w:val="0"/>
              <w:spacing w:before="120"/>
              <w:jc w:val="both"/>
              <w:rPr>
                <w:rFonts w:ascii="Arial" w:hAnsi="Arial" w:cs="Arial"/>
                <w:b/>
                <w:sz w:val="22"/>
                <w:szCs w:val="22"/>
                <w:u w:val="single"/>
                <w:lang w:val="en-US" w:eastAsia="en-US"/>
              </w:rPr>
            </w:pPr>
            <w:r w:rsidRPr="00D25072">
              <w:rPr>
                <w:rFonts w:ascii="Arial" w:hAnsi="Arial" w:cs="Arial"/>
                <w:b/>
                <w:sz w:val="22"/>
                <w:szCs w:val="22"/>
                <w:u w:val="single"/>
                <w:lang w:val="en-US" w:eastAsia="en-US"/>
              </w:rPr>
              <w:t xml:space="preserve">Доказ: </w:t>
            </w:r>
          </w:p>
          <w:p w:rsidR="00D25072" w:rsidRPr="00D25072" w:rsidRDefault="00D25072" w:rsidP="00D25072">
            <w:pPr>
              <w:tabs>
                <w:tab w:val="left" w:pos="680"/>
              </w:tabs>
              <w:suppressAutoHyphens w:val="0"/>
              <w:snapToGrid w:val="0"/>
              <w:spacing w:before="120"/>
              <w:jc w:val="both"/>
              <w:rPr>
                <w:rFonts w:ascii="Arial" w:eastAsia="Calibri" w:hAnsi="Arial" w:cs="Arial"/>
                <w:sz w:val="22"/>
                <w:szCs w:val="22"/>
                <w:lang w:val="en-US" w:eastAsia="en-US"/>
              </w:rPr>
            </w:pPr>
            <w:r w:rsidRPr="00D25072">
              <w:rPr>
                <w:rFonts w:ascii="Arial" w:eastAsia="Calibri" w:hAnsi="Arial" w:cs="Arial"/>
                <w:sz w:val="22"/>
                <w:szCs w:val="22"/>
                <w:lang w:val="ru-RU" w:eastAsia="en-US"/>
              </w:rPr>
              <w:t xml:space="preserve">- </w:t>
            </w:r>
            <w:r w:rsidRPr="00D25072">
              <w:rPr>
                <w:rFonts w:ascii="Arial" w:eastAsia="Calibri" w:hAnsi="Arial" w:cs="Arial"/>
                <w:b/>
                <w:sz w:val="22"/>
                <w:szCs w:val="22"/>
                <w:lang w:val="en-US" w:eastAsia="en-US"/>
              </w:rPr>
              <w:t>за правно лице:</w:t>
            </w:r>
            <w:r w:rsidRPr="00D25072">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D25072" w:rsidRPr="00D25072" w:rsidRDefault="00D25072" w:rsidP="00D25072">
            <w:pPr>
              <w:tabs>
                <w:tab w:val="left" w:pos="680"/>
              </w:tabs>
              <w:suppressAutoHyphens w:val="0"/>
              <w:snapToGrid w:val="0"/>
              <w:spacing w:before="120"/>
              <w:jc w:val="both"/>
              <w:rPr>
                <w:rFonts w:ascii="Arial" w:eastAsia="Calibri" w:hAnsi="Arial" w:cs="Arial"/>
                <w:sz w:val="22"/>
                <w:szCs w:val="22"/>
                <w:lang w:val="en-US" w:eastAsia="en-US"/>
              </w:rPr>
            </w:pPr>
            <w:r w:rsidRPr="00D25072">
              <w:rPr>
                <w:rFonts w:ascii="Arial" w:eastAsia="Calibri" w:hAnsi="Arial" w:cs="Arial"/>
                <w:sz w:val="22"/>
                <w:szCs w:val="22"/>
                <w:lang w:val="en-US" w:eastAsia="en-US"/>
              </w:rPr>
              <w:t xml:space="preserve">- </w:t>
            </w:r>
            <w:r w:rsidRPr="00D25072">
              <w:rPr>
                <w:rFonts w:ascii="Arial" w:eastAsia="Calibri" w:hAnsi="Arial" w:cs="Arial"/>
                <w:b/>
                <w:sz w:val="22"/>
                <w:szCs w:val="22"/>
                <w:lang w:val="en-US" w:eastAsia="en-US"/>
              </w:rPr>
              <w:t xml:space="preserve">за предузетнике: </w:t>
            </w:r>
            <w:r w:rsidRPr="00D25072">
              <w:rPr>
                <w:rFonts w:ascii="Arial" w:eastAsia="Calibri" w:hAnsi="Arial" w:cs="Arial"/>
                <w:sz w:val="22"/>
                <w:szCs w:val="22"/>
                <w:lang w:val="en-US" w:eastAsia="en-US"/>
              </w:rPr>
              <w:t>И</w:t>
            </w:r>
            <w:r w:rsidRPr="00D25072">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D25072" w:rsidRPr="00D25072" w:rsidRDefault="00D25072" w:rsidP="00D25072">
            <w:pPr>
              <w:suppressAutoHyphens w:val="0"/>
              <w:autoSpaceDE w:val="0"/>
              <w:autoSpaceDN w:val="0"/>
              <w:adjustRightInd w:val="0"/>
              <w:spacing w:before="120"/>
              <w:jc w:val="both"/>
              <w:rPr>
                <w:rFonts w:ascii="Arial" w:eastAsia="Calibri" w:hAnsi="Arial" w:cs="Arial"/>
                <w:sz w:val="22"/>
                <w:szCs w:val="22"/>
                <w:lang w:val="en-US" w:eastAsia="en-US"/>
              </w:rPr>
            </w:pPr>
            <w:r w:rsidRPr="00D25072">
              <w:rPr>
                <w:rFonts w:ascii="Arial" w:eastAsia="Calibri" w:hAnsi="Arial" w:cs="Arial"/>
                <w:sz w:val="22"/>
                <w:szCs w:val="22"/>
                <w:lang w:val="en-US" w:eastAsia="en-US"/>
              </w:rPr>
              <w:t xml:space="preserve">Напомена: </w:t>
            </w:r>
          </w:p>
          <w:p w:rsidR="00D25072" w:rsidRPr="00D25072" w:rsidRDefault="00D25072" w:rsidP="00D25072">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D25072">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D25072">
              <w:rPr>
                <w:rFonts w:ascii="Arial" w:eastAsia="Calibri" w:hAnsi="Arial" w:cs="Arial"/>
                <w:sz w:val="22"/>
                <w:szCs w:val="22"/>
                <w:lang w:eastAsia="en-US"/>
              </w:rPr>
              <w:t>члана групе понуђача</w:t>
            </w:r>
          </w:p>
          <w:p w:rsidR="00D25072" w:rsidRPr="00D25072" w:rsidRDefault="00D25072" w:rsidP="00D25072">
            <w:pPr>
              <w:numPr>
                <w:ilvl w:val="0"/>
                <w:numId w:val="1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D25072">
              <w:rPr>
                <w:rFonts w:ascii="Arial" w:eastAsia="Calibri" w:hAnsi="Arial" w:cs="Arial"/>
                <w:sz w:val="22"/>
                <w:szCs w:val="22"/>
                <w:lang w:val="en-US" w:eastAsia="en-US"/>
              </w:rPr>
              <w:t>У случају да понуђач подноси понуду са подизвођачем, овај доказ доставити и за сваког подизвођача</w:t>
            </w:r>
          </w:p>
        </w:tc>
      </w:tr>
      <w:tr w:rsidR="00D25072" w:rsidRPr="00D25072" w:rsidTr="00824C6B">
        <w:trPr>
          <w:trHeight w:val="3706"/>
          <w:jc w:val="center"/>
        </w:trPr>
        <w:tc>
          <w:tcPr>
            <w:tcW w:w="729" w:type="dxa"/>
            <w:vAlign w:val="center"/>
          </w:tcPr>
          <w:p w:rsidR="00D25072" w:rsidRPr="00D25072" w:rsidRDefault="00D25072" w:rsidP="00D25072">
            <w:pPr>
              <w:suppressAutoHyphens w:val="0"/>
              <w:spacing w:before="120"/>
              <w:jc w:val="center"/>
              <w:rPr>
                <w:rFonts w:ascii="Arial" w:hAnsi="Arial" w:cs="Arial"/>
                <w:sz w:val="22"/>
                <w:szCs w:val="22"/>
                <w:lang w:val="en-US" w:eastAsia="en-US"/>
              </w:rPr>
            </w:pPr>
            <w:r w:rsidRPr="00D25072">
              <w:rPr>
                <w:rFonts w:ascii="Arial" w:hAnsi="Arial" w:cs="Arial"/>
                <w:sz w:val="22"/>
                <w:szCs w:val="22"/>
                <w:lang w:val="en-US" w:eastAsia="en-US"/>
              </w:rPr>
              <w:t>2.</w:t>
            </w:r>
          </w:p>
        </w:tc>
        <w:tc>
          <w:tcPr>
            <w:tcW w:w="8430" w:type="dxa"/>
            <w:vAlign w:val="center"/>
          </w:tcPr>
          <w:p w:rsidR="00D25072" w:rsidRPr="00D25072" w:rsidRDefault="00D25072" w:rsidP="00D25072">
            <w:pPr>
              <w:suppressAutoHyphens w:val="0"/>
              <w:autoSpaceDE w:val="0"/>
              <w:autoSpaceDN w:val="0"/>
              <w:adjustRightInd w:val="0"/>
              <w:spacing w:before="120"/>
              <w:rPr>
                <w:rFonts w:ascii="Arial" w:hAnsi="Arial" w:cs="Arial"/>
                <w:sz w:val="22"/>
                <w:szCs w:val="22"/>
                <w:lang w:val="sr-Latn-CS" w:eastAsia="sr-Latn-CS"/>
              </w:rPr>
            </w:pPr>
            <w:r w:rsidRPr="00D25072">
              <w:rPr>
                <w:rFonts w:ascii="Arial" w:hAnsi="Arial" w:cs="Arial"/>
                <w:b/>
                <w:sz w:val="22"/>
                <w:szCs w:val="22"/>
                <w:u w:val="single"/>
                <w:lang w:val="sr-Latn-CS" w:eastAsia="sr-Latn-CS"/>
              </w:rPr>
              <w:t>Услов:</w:t>
            </w:r>
            <w:r w:rsidRPr="00D25072">
              <w:rPr>
                <w:rFonts w:ascii="Arial" w:hAnsi="Arial" w:cs="Arial"/>
                <w:sz w:val="22"/>
                <w:szCs w:val="22"/>
                <w:lang w:val="sr-Latn-CS" w:eastAsia="sr-Latn-CS"/>
              </w:rPr>
              <w:t xml:space="preserve"> </w:t>
            </w:r>
          </w:p>
          <w:p w:rsidR="00D25072" w:rsidRPr="00D25072" w:rsidRDefault="00D25072" w:rsidP="00D25072">
            <w:pPr>
              <w:suppressAutoHyphens w:val="0"/>
              <w:autoSpaceDE w:val="0"/>
              <w:autoSpaceDN w:val="0"/>
              <w:adjustRightInd w:val="0"/>
              <w:spacing w:before="120"/>
              <w:rPr>
                <w:rFonts w:ascii="Arial" w:hAnsi="Arial" w:cs="Arial"/>
                <w:sz w:val="22"/>
                <w:szCs w:val="22"/>
                <w:lang w:val="sr-Latn-CS" w:eastAsia="sr-Latn-CS"/>
              </w:rPr>
            </w:pPr>
            <w:r w:rsidRPr="00D25072">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25072" w:rsidRPr="00D25072" w:rsidRDefault="00D25072" w:rsidP="00D25072">
            <w:pPr>
              <w:suppressAutoHyphens w:val="0"/>
              <w:autoSpaceDE w:val="0"/>
              <w:autoSpaceDN w:val="0"/>
              <w:adjustRightInd w:val="0"/>
              <w:spacing w:before="120"/>
              <w:rPr>
                <w:rFonts w:ascii="Arial" w:hAnsi="Arial" w:cs="Arial"/>
                <w:b/>
                <w:sz w:val="22"/>
                <w:szCs w:val="22"/>
                <w:u w:val="single"/>
                <w:lang w:val="sr-Latn-CS" w:eastAsia="sr-Latn-CS"/>
              </w:rPr>
            </w:pPr>
            <w:r w:rsidRPr="00D25072">
              <w:rPr>
                <w:rFonts w:ascii="Arial" w:hAnsi="Arial" w:cs="Arial"/>
                <w:b/>
                <w:sz w:val="22"/>
                <w:szCs w:val="22"/>
                <w:u w:val="single"/>
                <w:lang w:val="sr-Latn-CS" w:eastAsia="sr-Latn-CS"/>
              </w:rPr>
              <w:t>Доказ:</w:t>
            </w:r>
          </w:p>
          <w:p w:rsidR="00D25072" w:rsidRPr="00D25072" w:rsidRDefault="00D25072" w:rsidP="00D25072">
            <w:pPr>
              <w:suppressAutoHyphens w:val="0"/>
              <w:autoSpaceDE w:val="0"/>
              <w:autoSpaceDN w:val="0"/>
              <w:adjustRightInd w:val="0"/>
              <w:spacing w:before="120"/>
              <w:rPr>
                <w:rFonts w:ascii="Arial" w:hAnsi="Arial" w:cs="Arial"/>
                <w:b/>
                <w:sz w:val="22"/>
                <w:szCs w:val="22"/>
                <w:u w:val="single"/>
                <w:lang w:val="sr-Latn-CS" w:eastAsia="sr-Latn-CS"/>
              </w:rPr>
            </w:pPr>
            <w:r w:rsidRPr="00D25072">
              <w:rPr>
                <w:rFonts w:ascii="Arial" w:eastAsia="Calibri" w:hAnsi="Arial" w:cs="Arial"/>
                <w:sz w:val="22"/>
                <w:szCs w:val="22"/>
                <w:lang w:val="ru-RU" w:eastAsia="sr-Latn-CS"/>
              </w:rPr>
              <w:t xml:space="preserve">- </w:t>
            </w:r>
            <w:r w:rsidRPr="00D25072">
              <w:rPr>
                <w:rFonts w:ascii="Arial" w:eastAsia="Calibri" w:hAnsi="Arial" w:cs="Arial"/>
                <w:b/>
                <w:sz w:val="22"/>
                <w:szCs w:val="22"/>
                <w:lang w:val="sr-Latn-CS" w:eastAsia="sr-Latn-CS"/>
              </w:rPr>
              <w:t>за правно лице:</w:t>
            </w:r>
          </w:p>
          <w:p w:rsidR="00D25072" w:rsidRPr="00D25072" w:rsidRDefault="00D25072" w:rsidP="00D25072">
            <w:pPr>
              <w:suppressAutoHyphens w:val="0"/>
              <w:spacing w:before="120"/>
              <w:rPr>
                <w:rFonts w:ascii="Arial" w:hAnsi="Arial" w:cs="Arial"/>
                <w:sz w:val="22"/>
                <w:szCs w:val="22"/>
                <w:lang w:val="sr-Latn-CS" w:eastAsia="sr-Latn-CS"/>
              </w:rPr>
            </w:pPr>
            <w:r w:rsidRPr="00D25072">
              <w:rPr>
                <w:rFonts w:ascii="Arial" w:hAnsi="Arial" w:cs="Arial"/>
                <w:sz w:val="22"/>
                <w:szCs w:val="22"/>
                <w:lang w:val="sr-Latn-CS" w:eastAsia="sr-Latn-CS"/>
              </w:rPr>
              <w:t>1) ЗА ЗАКОНСКОГ ЗАСТУПНИКА</w:t>
            </w:r>
            <w:r w:rsidRPr="00D25072">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D25072">
              <w:rPr>
                <w:rFonts w:ascii="Arial" w:hAnsi="Arial" w:cs="Arial"/>
                <w:sz w:val="22"/>
                <w:szCs w:val="22"/>
                <w:lang w:val="sr-Latn-CS" w:eastAsia="sr-Latn-CS"/>
              </w:rPr>
              <w:t xml:space="preserve"> – захтев за издавање овог уверења може се поднети према </w:t>
            </w:r>
            <w:r w:rsidRPr="00D25072">
              <w:rPr>
                <w:rFonts w:ascii="Arial" w:hAnsi="Arial" w:cs="Arial"/>
                <w:b/>
                <w:sz w:val="22"/>
                <w:szCs w:val="22"/>
                <w:lang w:val="sr-Latn-CS" w:eastAsia="sr-Latn-CS"/>
              </w:rPr>
              <w:t>месту рођења</w:t>
            </w:r>
            <w:r w:rsidRPr="00D25072">
              <w:rPr>
                <w:rFonts w:ascii="Arial" w:hAnsi="Arial" w:cs="Arial"/>
                <w:sz w:val="22"/>
                <w:szCs w:val="22"/>
                <w:lang w:val="sr-Latn-CS" w:eastAsia="sr-Latn-CS"/>
              </w:rPr>
              <w:t xml:space="preserve"> или према </w:t>
            </w:r>
            <w:r w:rsidRPr="00D25072">
              <w:rPr>
                <w:rFonts w:ascii="Arial" w:hAnsi="Arial" w:cs="Arial"/>
                <w:b/>
                <w:sz w:val="22"/>
                <w:szCs w:val="22"/>
                <w:lang w:val="sr-Latn-CS" w:eastAsia="sr-Latn-CS"/>
              </w:rPr>
              <w:t>месту пребивалишта</w:t>
            </w:r>
            <w:r w:rsidRPr="00D25072">
              <w:rPr>
                <w:rFonts w:ascii="Arial" w:hAnsi="Arial" w:cs="Arial"/>
                <w:sz w:val="22"/>
                <w:szCs w:val="22"/>
                <w:lang w:val="sr-Latn-CS" w:eastAsia="sr-Latn-CS"/>
              </w:rPr>
              <w:t>.</w:t>
            </w:r>
          </w:p>
          <w:p w:rsidR="00D25072" w:rsidRPr="00D25072" w:rsidRDefault="00D25072" w:rsidP="00D25072">
            <w:pPr>
              <w:suppressAutoHyphens w:val="0"/>
              <w:spacing w:before="120"/>
              <w:rPr>
                <w:rFonts w:ascii="Arial" w:hAnsi="Arial" w:cs="Arial"/>
                <w:sz w:val="22"/>
                <w:szCs w:val="22"/>
                <w:lang w:val="sr-Latn-CS" w:eastAsia="sr-Latn-CS"/>
              </w:rPr>
            </w:pPr>
            <w:r w:rsidRPr="00D25072">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D25072">
                <w:rPr>
                  <w:rFonts w:ascii="Arial" w:hAnsi="Arial" w:cs="Arial"/>
                  <w:color w:val="0000FF"/>
                  <w:sz w:val="22"/>
                  <w:szCs w:val="22"/>
                  <w:u w:val="single"/>
                  <w:lang w:val="sr-Latn-CS" w:eastAsia="sr-Latn-CS"/>
                </w:rPr>
                <w:t>http://www.bg.vi.sud.rs/lt/articles/o-visem-sudu/obavestenje-ke-za-pravna-lica.html</w:t>
              </w:r>
            </w:hyperlink>
          </w:p>
          <w:p w:rsidR="00D25072" w:rsidRPr="00D25072" w:rsidRDefault="00D25072" w:rsidP="00D25072">
            <w:pPr>
              <w:suppressAutoHyphens w:val="0"/>
              <w:spacing w:before="120"/>
              <w:rPr>
                <w:rFonts w:ascii="Arial" w:hAnsi="Arial" w:cs="Arial"/>
                <w:sz w:val="22"/>
                <w:szCs w:val="22"/>
                <w:lang w:val="sr-Latn-CS" w:eastAsia="sr-Latn-CS"/>
              </w:rPr>
            </w:pPr>
            <w:r w:rsidRPr="00D25072">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25072">
              <w:rPr>
                <w:rFonts w:ascii="Arial" w:hAnsi="Arial" w:cs="Arial"/>
                <w:b/>
                <w:sz w:val="22"/>
                <w:szCs w:val="22"/>
                <w:lang w:val="sr-Latn-CS" w:eastAsia="sr-Latn-CS"/>
              </w:rPr>
              <w:t xml:space="preserve">Уверење Основног суда  </w:t>
            </w:r>
            <w:r w:rsidRPr="00D25072">
              <w:rPr>
                <w:rFonts w:ascii="Arial" w:hAnsi="Arial" w:cs="Arial"/>
                <w:sz w:val="22"/>
                <w:szCs w:val="22"/>
                <w:lang w:val="sr-Latn-CS" w:eastAsia="sr-Latn-CS"/>
              </w:rPr>
              <w:t>(</w:t>
            </w:r>
            <w:r w:rsidRPr="00D25072">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D25072">
              <w:rPr>
                <w:rFonts w:ascii="Arial" w:hAnsi="Arial" w:cs="Arial"/>
                <w:sz w:val="22"/>
                <w:szCs w:val="22"/>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D25072">
              <w:rPr>
                <w:rFonts w:ascii="Arial" w:hAnsi="Arial" w:cs="Arial"/>
                <w:sz w:val="22"/>
                <w:szCs w:val="22"/>
                <w:lang w:val="sr-Latn-CS" w:eastAsia="sr-Latn-CS"/>
              </w:rPr>
              <w:lastRenderedPageBreak/>
              <w:t>мита, кривично дело преваре.</w:t>
            </w:r>
          </w:p>
          <w:p w:rsidR="00D25072" w:rsidRPr="00D25072" w:rsidRDefault="00D25072" w:rsidP="00D25072">
            <w:pPr>
              <w:suppressAutoHyphens w:val="0"/>
              <w:spacing w:before="120"/>
              <w:rPr>
                <w:rFonts w:ascii="Arial" w:hAnsi="Arial" w:cs="Arial"/>
                <w:b/>
                <w:sz w:val="22"/>
                <w:szCs w:val="22"/>
                <w:lang w:val="sr-Latn-CS" w:eastAsia="sr-Latn-CS"/>
              </w:rPr>
            </w:pPr>
            <w:r w:rsidRPr="00D25072">
              <w:rPr>
                <w:rFonts w:ascii="Arial" w:hAnsi="Arial" w:cs="Arial"/>
                <w:sz w:val="22"/>
                <w:szCs w:val="22"/>
                <w:lang w:val="sr-Latn-CS" w:eastAsia="sr-Latn-CS"/>
              </w:rPr>
              <w:t xml:space="preserve">Посебна напомена: Уколико уверење </w:t>
            </w:r>
            <w:r w:rsidRPr="00D25072">
              <w:rPr>
                <w:rFonts w:ascii="Arial" w:hAnsi="Arial" w:cs="Arial"/>
                <w:sz w:val="22"/>
                <w:szCs w:val="22"/>
                <w:lang w:eastAsia="sr-Latn-CS"/>
              </w:rPr>
              <w:t>О</w:t>
            </w:r>
            <w:r w:rsidRPr="00D25072">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25072">
              <w:rPr>
                <w:rFonts w:ascii="Arial" w:hAnsi="Arial" w:cs="Arial"/>
                <w:sz w:val="22"/>
                <w:szCs w:val="22"/>
                <w:u w:val="single"/>
                <w:lang w:val="sr-Latn-CS" w:eastAsia="sr-Latn-CS"/>
              </w:rPr>
              <w:t>и</w:t>
            </w:r>
            <w:r w:rsidRPr="00D25072">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25072">
              <w:rPr>
                <w:rFonts w:ascii="Arial" w:hAnsi="Arial" w:cs="Arial"/>
                <w:b/>
                <w:sz w:val="22"/>
                <w:szCs w:val="22"/>
                <w:lang w:val="sr-Latn-CS" w:eastAsia="sr-Latn-CS"/>
              </w:rPr>
              <w:t>кривична дела против привреде и кривично дело примања мита.</w:t>
            </w:r>
          </w:p>
          <w:p w:rsidR="00D25072" w:rsidRPr="00D25072" w:rsidRDefault="00D25072" w:rsidP="00D25072">
            <w:pPr>
              <w:suppressAutoHyphens w:val="0"/>
              <w:spacing w:before="120"/>
              <w:rPr>
                <w:rFonts w:ascii="Arial" w:hAnsi="Arial" w:cs="Arial"/>
                <w:sz w:val="22"/>
                <w:szCs w:val="22"/>
                <w:lang w:val="sr-Latn-CS" w:eastAsia="sr-Latn-CS"/>
              </w:rPr>
            </w:pPr>
            <w:r w:rsidRPr="00D25072">
              <w:rPr>
                <w:rFonts w:ascii="Arial" w:hAnsi="Arial" w:cs="Arial"/>
                <w:b/>
                <w:sz w:val="22"/>
                <w:szCs w:val="22"/>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D25072">
              <w:rPr>
                <w:rFonts w:ascii="Arial" w:hAnsi="Arial" w:cs="Arial"/>
                <w:sz w:val="22"/>
                <w:szCs w:val="22"/>
                <w:lang w:val="sr-Latn-CS" w:eastAsia="sr-Latn-CS"/>
              </w:rPr>
              <w:t xml:space="preserve"> – захтев за издавање овог уверења може се поднети према </w:t>
            </w:r>
            <w:r w:rsidRPr="00D25072">
              <w:rPr>
                <w:rFonts w:ascii="Arial" w:hAnsi="Arial" w:cs="Arial"/>
                <w:b/>
                <w:sz w:val="22"/>
                <w:szCs w:val="22"/>
                <w:lang w:val="sr-Latn-CS" w:eastAsia="sr-Latn-CS"/>
              </w:rPr>
              <w:t>месту рођења</w:t>
            </w:r>
            <w:r w:rsidRPr="00D25072">
              <w:rPr>
                <w:rFonts w:ascii="Arial" w:hAnsi="Arial" w:cs="Arial"/>
                <w:sz w:val="22"/>
                <w:szCs w:val="22"/>
                <w:lang w:val="sr-Latn-CS" w:eastAsia="sr-Latn-CS"/>
              </w:rPr>
              <w:t xml:space="preserve"> или према </w:t>
            </w:r>
            <w:r w:rsidRPr="00D25072">
              <w:rPr>
                <w:rFonts w:ascii="Arial" w:hAnsi="Arial" w:cs="Arial"/>
                <w:b/>
                <w:sz w:val="22"/>
                <w:szCs w:val="22"/>
                <w:lang w:val="sr-Latn-CS" w:eastAsia="sr-Latn-CS"/>
              </w:rPr>
              <w:t>месту пребивалишта</w:t>
            </w:r>
            <w:r w:rsidRPr="00D25072">
              <w:rPr>
                <w:rFonts w:ascii="Arial" w:hAnsi="Arial" w:cs="Arial"/>
                <w:sz w:val="22"/>
                <w:szCs w:val="22"/>
                <w:lang w:val="sr-Latn-CS" w:eastAsia="sr-Latn-CS"/>
              </w:rPr>
              <w:t>.</w:t>
            </w:r>
          </w:p>
          <w:p w:rsidR="00D25072" w:rsidRPr="00D25072" w:rsidRDefault="00D25072" w:rsidP="00D25072">
            <w:pPr>
              <w:suppressAutoHyphens w:val="0"/>
              <w:autoSpaceDE w:val="0"/>
              <w:autoSpaceDN w:val="0"/>
              <w:adjustRightInd w:val="0"/>
              <w:spacing w:before="120"/>
              <w:rPr>
                <w:rFonts w:ascii="Arial" w:eastAsia="Calibri" w:hAnsi="Arial" w:cs="Arial"/>
                <w:sz w:val="22"/>
                <w:szCs w:val="22"/>
                <w:lang w:val="sr-Latn-CS" w:eastAsia="sr-Latn-CS"/>
              </w:rPr>
            </w:pPr>
            <w:r w:rsidRPr="00D25072">
              <w:rPr>
                <w:rFonts w:ascii="Arial" w:eastAsia="Calibri" w:hAnsi="Arial" w:cs="Arial"/>
                <w:sz w:val="22"/>
                <w:szCs w:val="22"/>
                <w:lang w:val="sr-Latn-CS" w:eastAsia="sr-Latn-CS"/>
              </w:rPr>
              <w:t xml:space="preserve">Напомена: </w:t>
            </w:r>
          </w:p>
          <w:p w:rsidR="00D25072" w:rsidRPr="00D25072" w:rsidRDefault="00D25072" w:rsidP="00D25072">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25072">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D25072" w:rsidRPr="00D25072" w:rsidRDefault="00D25072" w:rsidP="00D25072">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25072">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D25072" w:rsidRPr="00D25072" w:rsidRDefault="00D25072" w:rsidP="00D25072">
            <w:pPr>
              <w:numPr>
                <w:ilvl w:val="0"/>
                <w:numId w:val="1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25072">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D25072">
              <w:rPr>
                <w:rFonts w:ascii="Arial" w:eastAsia="Calibri" w:hAnsi="Arial" w:cs="Arial"/>
                <w:sz w:val="22"/>
                <w:szCs w:val="22"/>
                <w:lang w:eastAsia="sr-Latn-CS"/>
              </w:rPr>
              <w:t>члана групе понуђача</w:t>
            </w:r>
          </w:p>
          <w:p w:rsidR="00D25072" w:rsidRPr="00D25072" w:rsidRDefault="00D25072" w:rsidP="00D25072">
            <w:pPr>
              <w:numPr>
                <w:ilvl w:val="0"/>
                <w:numId w:val="14"/>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D25072">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D25072">
              <w:rPr>
                <w:rFonts w:ascii="Arial" w:eastAsia="Calibri" w:hAnsi="Arial" w:cs="Arial"/>
                <w:sz w:val="22"/>
                <w:szCs w:val="22"/>
                <w:lang w:eastAsia="sr-Latn-CS"/>
              </w:rPr>
              <w:t xml:space="preserve">сваког </w:t>
            </w:r>
            <w:r w:rsidRPr="00D25072">
              <w:rPr>
                <w:rFonts w:ascii="Arial" w:eastAsia="Calibri" w:hAnsi="Arial" w:cs="Arial"/>
                <w:sz w:val="22"/>
                <w:szCs w:val="22"/>
                <w:lang w:val="sr-Latn-CS" w:eastAsia="sr-Latn-CS"/>
              </w:rPr>
              <w:t xml:space="preserve">подизвођача </w:t>
            </w:r>
          </w:p>
          <w:p w:rsidR="00D25072" w:rsidRPr="00D25072" w:rsidRDefault="00D25072" w:rsidP="00D25072">
            <w:pPr>
              <w:tabs>
                <w:tab w:val="left" w:pos="680"/>
              </w:tabs>
              <w:suppressAutoHyphens w:val="0"/>
              <w:snapToGrid w:val="0"/>
              <w:contextualSpacing/>
              <w:rPr>
                <w:rFonts w:ascii="Arial" w:eastAsia="Calibri" w:hAnsi="Arial" w:cs="Arial"/>
                <w:sz w:val="22"/>
                <w:szCs w:val="22"/>
                <w:lang w:val="en-US" w:eastAsia="en-US"/>
              </w:rPr>
            </w:pPr>
            <w:r w:rsidRPr="00D25072">
              <w:rPr>
                <w:rFonts w:ascii="Arial" w:eastAsia="Calibri" w:hAnsi="Arial" w:cs="Arial"/>
                <w:b/>
                <w:sz w:val="22"/>
                <w:szCs w:val="22"/>
                <w:lang w:val="sr-Latn-CS" w:eastAsia="sr-Latn-CS"/>
              </w:rPr>
              <w:t>Ови докази не могу бити старији од два месеца пре отварања понуда</w:t>
            </w:r>
            <w:r w:rsidRPr="00D25072">
              <w:rPr>
                <w:rFonts w:ascii="Arial" w:eastAsia="Calibri" w:hAnsi="Arial" w:cs="Arial"/>
                <w:sz w:val="22"/>
                <w:szCs w:val="22"/>
                <w:lang w:val="sr-Latn-CS" w:eastAsia="sr-Latn-CS"/>
              </w:rPr>
              <w:t>.</w:t>
            </w:r>
          </w:p>
        </w:tc>
      </w:tr>
      <w:tr w:rsidR="00D25072" w:rsidRPr="00D25072" w:rsidTr="00824C6B">
        <w:trPr>
          <w:trHeight w:val="70"/>
          <w:jc w:val="center"/>
        </w:trPr>
        <w:tc>
          <w:tcPr>
            <w:tcW w:w="729" w:type="dxa"/>
            <w:vAlign w:val="center"/>
          </w:tcPr>
          <w:p w:rsidR="00D25072" w:rsidRPr="00D25072" w:rsidRDefault="00D25072" w:rsidP="00D25072">
            <w:pPr>
              <w:suppressAutoHyphens w:val="0"/>
              <w:spacing w:before="120"/>
              <w:jc w:val="center"/>
              <w:rPr>
                <w:rFonts w:ascii="Arial" w:hAnsi="Arial" w:cs="Arial"/>
                <w:sz w:val="22"/>
                <w:szCs w:val="22"/>
                <w:lang w:val="en-US" w:eastAsia="en-US"/>
              </w:rPr>
            </w:pPr>
            <w:r w:rsidRPr="00D25072">
              <w:rPr>
                <w:rFonts w:ascii="Arial" w:hAnsi="Arial" w:cs="Arial"/>
                <w:sz w:val="22"/>
                <w:szCs w:val="22"/>
                <w:lang w:val="en-US" w:eastAsia="en-US"/>
              </w:rPr>
              <w:lastRenderedPageBreak/>
              <w:t>3.</w:t>
            </w:r>
          </w:p>
        </w:tc>
        <w:tc>
          <w:tcPr>
            <w:tcW w:w="8430" w:type="dxa"/>
            <w:vAlign w:val="center"/>
          </w:tcPr>
          <w:p w:rsidR="00D25072" w:rsidRPr="00D25072" w:rsidRDefault="00D25072" w:rsidP="00D25072">
            <w:pPr>
              <w:suppressAutoHyphens w:val="0"/>
              <w:snapToGrid w:val="0"/>
              <w:spacing w:before="120"/>
              <w:jc w:val="both"/>
              <w:rPr>
                <w:rFonts w:ascii="Arial" w:hAnsi="Arial" w:cs="Arial"/>
                <w:sz w:val="22"/>
                <w:szCs w:val="22"/>
                <w:lang w:val="sr-Latn-CS" w:eastAsia="sr-Latn-CS"/>
              </w:rPr>
            </w:pPr>
            <w:r w:rsidRPr="00D25072">
              <w:rPr>
                <w:rFonts w:ascii="Arial" w:hAnsi="Arial" w:cs="Arial"/>
                <w:b/>
                <w:sz w:val="22"/>
                <w:szCs w:val="22"/>
                <w:u w:val="single"/>
                <w:lang w:val="sr-Latn-CS" w:eastAsia="sr-Latn-CS"/>
              </w:rPr>
              <w:t>Услов</w:t>
            </w:r>
            <w:r w:rsidRPr="00D25072">
              <w:rPr>
                <w:rFonts w:ascii="Arial" w:hAnsi="Arial" w:cs="Arial"/>
                <w:sz w:val="22"/>
                <w:szCs w:val="22"/>
                <w:u w:val="single"/>
                <w:lang w:val="sr-Latn-CS" w:eastAsia="sr-Latn-CS"/>
              </w:rPr>
              <w:t>:</w:t>
            </w:r>
            <w:r w:rsidRPr="00D25072">
              <w:rPr>
                <w:rFonts w:ascii="Arial" w:hAnsi="Arial" w:cs="Arial"/>
                <w:sz w:val="22"/>
                <w:szCs w:val="22"/>
                <w:lang w:val="sr-Latn-CS" w:eastAsia="sr-Latn-CS"/>
              </w:rPr>
              <w:t xml:space="preserve"> </w:t>
            </w:r>
          </w:p>
          <w:p w:rsidR="00D25072" w:rsidRPr="00D25072" w:rsidRDefault="00D25072" w:rsidP="00D25072">
            <w:pPr>
              <w:suppressAutoHyphens w:val="0"/>
              <w:snapToGrid w:val="0"/>
              <w:spacing w:before="120"/>
              <w:jc w:val="both"/>
              <w:rPr>
                <w:rFonts w:ascii="Arial" w:hAnsi="Arial" w:cs="Arial"/>
                <w:sz w:val="22"/>
                <w:szCs w:val="22"/>
                <w:lang w:val="sr-Latn-CS" w:eastAsia="sr-Latn-CS"/>
              </w:rPr>
            </w:pPr>
            <w:r w:rsidRPr="00D25072">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25072" w:rsidRPr="00D25072" w:rsidRDefault="00D25072" w:rsidP="00D25072">
            <w:pPr>
              <w:suppressAutoHyphens w:val="0"/>
              <w:autoSpaceDE w:val="0"/>
              <w:autoSpaceDN w:val="0"/>
              <w:adjustRightInd w:val="0"/>
              <w:spacing w:before="120"/>
              <w:jc w:val="both"/>
              <w:rPr>
                <w:rFonts w:ascii="Arial" w:hAnsi="Arial" w:cs="Arial"/>
                <w:b/>
                <w:sz w:val="22"/>
                <w:szCs w:val="22"/>
                <w:u w:val="single"/>
                <w:lang w:val="sr-Latn-CS" w:eastAsia="sr-Latn-CS"/>
              </w:rPr>
            </w:pPr>
            <w:r w:rsidRPr="00D25072">
              <w:rPr>
                <w:rFonts w:ascii="Arial" w:hAnsi="Arial" w:cs="Arial"/>
                <w:b/>
                <w:sz w:val="22"/>
                <w:szCs w:val="22"/>
                <w:u w:val="single"/>
                <w:lang w:val="sr-Latn-CS" w:eastAsia="sr-Latn-CS"/>
              </w:rPr>
              <w:t>Доказ:</w:t>
            </w:r>
          </w:p>
          <w:p w:rsidR="00D25072" w:rsidRPr="00D25072" w:rsidRDefault="00D25072" w:rsidP="00D25072">
            <w:pPr>
              <w:suppressAutoHyphens w:val="0"/>
              <w:snapToGrid w:val="0"/>
              <w:spacing w:before="120"/>
              <w:jc w:val="both"/>
              <w:rPr>
                <w:rFonts w:ascii="Arial" w:eastAsia="Calibri" w:hAnsi="Arial" w:cs="Arial"/>
                <w:sz w:val="22"/>
                <w:szCs w:val="22"/>
                <w:lang w:val="ru-RU" w:eastAsia="sr-Latn-CS"/>
              </w:rPr>
            </w:pPr>
            <w:r w:rsidRPr="00D25072">
              <w:rPr>
                <w:rFonts w:ascii="Arial" w:eastAsia="Calibri" w:hAnsi="Arial" w:cs="Arial"/>
                <w:sz w:val="22"/>
                <w:szCs w:val="22"/>
                <w:lang w:val="ru-RU" w:eastAsia="sr-Latn-CS"/>
              </w:rPr>
              <w:t xml:space="preserve">- </w:t>
            </w:r>
            <w:r w:rsidRPr="00D25072">
              <w:rPr>
                <w:rFonts w:ascii="Arial" w:eastAsia="Calibri" w:hAnsi="Arial" w:cs="Arial"/>
                <w:b/>
                <w:sz w:val="22"/>
                <w:szCs w:val="22"/>
                <w:lang w:val="ru-RU" w:eastAsia="sr-Latn-CS"/>
              </w:rPr>
              <w:t xml:space="preserve">за правно лице, предузетнике и физичка лица: </w:t>
            </w:r>
          </w:p>
          <w:p w:rsidR="00D25072" w:rsidRPr="00D25072" w:rsidRDefault="00D25072" w:rsidP="00D25072">
            <w:pPr>
              <w:suppressAutoHyphens w:val="0"/>
              <w:snapToGrid w:val="0"/>
              <w:spacing w:before="120"/>
              <w:jc w:val="both"/>
              <w:rPr>
                <w:rFonts w:ascii="Arial" w:eastAsia="Calibri" w:hAnsi="Arial" w:cs="Arial"/>
                <w:sz w:val="22"/>
                <w:szCs w:val="22"/>
                <w:lang w:val="ru-RU" w:eastAsia="sr-Latn-CS"/>
              </w:rPr>
            </w:pPr>
            <w:r w:rsidRPr="00D25072">
              <w:rPr>
                <w:rFonts w:ascii="Arial" w:eastAsia="Calibri" w:hAnsi="Arial" w:cs="Arial"/>
                <w:b/>
                <w:sz w:val="22"/>
                <w:szCs w:val="22"/>
                <w:lang w:val="ru-RU" w:eastAsia="sr-Latn-CS"/>
              </w:rPr>
              <w:t>1.Уверење Пореске управе</w:t>
            </w:r>
            <w:r w:rsidRPr="00D25072">
              <w:rPr>
                <w:rFonts w:ascii="Arial" w:eastAsia="Calibri" w:hAnsi="Arial" w:cs="Arial"/>
                <w:sz w:val="22"/>
                <w:szCs w:val="22"/>
                <w:lang w:val="ru-RU" w:eastAsia="sr-Latn-CS"/>
              </w:rPr>
              <w:t xml:space="preserve"> Министарства финансија да је измирио доспеле </w:t>
            </w:r>
            <w:r w:rsidRPr="00D25072">
              <w:rPr>
                <w:rFonts w:ascii="Arial" w:hAnsi="Arial" w:cs="Arial"/>
                <w:sz w:val="22"/>
                <w:szCs w:val="22"/>
                <w:lang w:val="ru-RU" w:eastAsia="sr-Latn-CS"/>
              </w:rPr>
              <w:t xml:space="preserve">порезе и доприносе </w:t>
            </w:r>
            <w:r w:rsidRPr="00D25072">
              <w:rPr>
                <w:rFonts w:ascii="Arial" w:eastAsia="Calibri" w:hAnsi="Arial" w:cs="Arial"/>
                <w:b/>
                <w:sz w:val="22"/>
                <w:szCs w:val="22"/>
                <w:u w:val="single"/>
                <w:lang w:val="ru-RU" w:eastAsia="sr-Latn-CS"/>
              </w:rPr>
              <w:t>и</w:t>
            </w:r>
          </w:p>
          <w:p w:rsidR="00D25072" w:rsidRPr="00D25072" w:rsidRDefault="00D25072" w:rsidP="00D25072">
            <w:pPr>
              <w:suppressAutoHyphens w:val="0"/>
              <w:spacing w:before="120"/>
              <w:jc w:val="both"/>
              <w:rPr>
                <w:rFonts w:ascii="Arial" w:hAnsi="Arial" w:cs="Arial"/>
                <w:sz w:val="22"/>
                <w:szCs w:val="22"/>
                <w:lang w:val="ru-RU" w:eastAsia="sr-Latn-CS"/>
              </w:rPr>
            </w:pPr>
            <w:r w:rsidRPr="00D25072">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D25072">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D25072">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D25072" w:rsidRPr="00D25072" w:rsidRDefault="00D25072" w:rsidP="00D25072">
            <w:pPr>
              <w:suppressAutoHyphens w:val="0"/>
              <w:spacing w:before="120"/>
              <w:ind w:right="122"/>
              <w:jc w:val="both"/>
              <w:rPr>
                <w:rFonts w:ascii="Arial" w:hAnsi="Arial" w:cs="Arial"/>
                <w:sz w:val="22"/>
                <w:szCs w:val="22"/>
                <w:lang w:val="ru-RU" w:eastAsia="sr-Latn-CS"/>
              </w:rPr>
            </w:pPr>
            <w:r w:rsidRPr="00D25072">
              <w:rPr>
                <w:rFonts w:ascii="Arial" w:hAnsi="Arial" w:cs="Arial"/>
                <w:sz w:val="22"/>
                <w:szCs w:val="22"/>
                <w:lang w:val="ru-RU" w:eastAsia="sr-Latn-CS"/>
              </w:rPr>
              <w:t>Напомена:</w:t>
            </w:r>
          </w:p>
          <w:p w:rsidR="00D25072" w:rsidRPr="00D25072" w:rsidRDefault="00D25072" w:rsidP="00D25072">
            <w:pPr>
              <w:numPr>
                <w:ilvl w:val="0"/>
                <w:numId w:val="15"/>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D25072">
              <w:rPr>
                <w:rFonts w:ascii="Arial" w:eastAsia="TimesNewRomanPSMT" w:hAnsi="Arial" w:cs="Arial"/>
                <w:sz w:val="22"/>
                <w:szCs w:val="22"/>
                <w:lang w:val="sr-Latn-CS" w:eastAsia="sr-Latn-CS"/>
              </w:rPr>
              <w:t>Уколико локална (општин</w:t>
            </w:r>
            <w:r w:rsidRPr="00D25072">
              <w:rPr>
                <w:rFonts w:ascii="Arial" w:eastAsia="TimesNewRomanPSMT" w:hAnsi="Arial" w:cs="Arial"/>
                <w:sz w:val="22"/>
                <w:szCs w:val="22"/>
                <w:lang w:eastAsia="sr-Latn-CS"/>
              </w:rPr>
              <w:t>с</w:t>
            </w:r>
            <w:r w:rsidRPr="00D25072">
              <w:rPr>
                <w:rFonts w:ascii="Arial" w:eastAsia="TimesNewRomanPSMT" w:hAnsi="Arial" w:cs="Arial"/>
                <w:sz w:val="22"/>
                <w:szCs w:val="22"/>
                <w:lang w:val="sr-Latn-CS" w:eastAsia="sr-Latn-CS"/>
              </w:rPr>
              <w:t>ка) управа</w:t>
            </w:r>
            <w:r w:rsidRPr="00D25072">
              <w:rPr>
                <w:rFonts w:ascii="Arial" w:eastAsia="TimesNewRomanPSMT" w:hAnsi="Arial" w:cs="Arial"/>
                <w:sz w:val="22"/>
                <w:szCs w:val="22"/>
                <w:lang w:eastAsia="sr-Latn-CS"/>
              </w:rPr>
              <w:t xml:space="preserve"> јавних приход</w:t>
            </w:r>
            <w:r w:rsidRPr="00D25072">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25072">
              <w:rPr>
                <w:rFonts w:ascii="Arial" w:eastAsia="TimesNewRomanPSMT" w:hAnsi="Arial" w:cs="Arial"/>
                <w:sz w:val="22"/>
                <w:szCs w:val="22"/>
                <w:lang w:eastAsia="sr-Latn-CS"/>
              </w:rPr>
              <w:t xml:space="preserve">јавних прихода </w:t>
            </w:r>
            <w:r w:rsidRPr="00D25072">
              <w:rPr>
                <w:rFonts w:ascii="Arial" w:eastAsia="TimesNewRomanPSMT" w:hAnsi="Arial" w:cs="Arial"/>
                <w:sz w:val="22"/>
                <w:szCs w:val="22"/>
                <w:lang w:val="sr-Latn-CS" w:eastAsia="sr-Latn-CS"/>
              </w:rPr>
              <w:t xml:space="preserve">приложи и потврде </w:t>
            </w:r>
            <w:r w:rsidRPr="00D25072">
              <w:rPr>
                <w:rFonts w:ascii="Arial" w:eastAsia="TimesNewRomanPSMT" w:hAnsi="Arial" w:cs="Arial"/>
                <w:sz w:val="22"/>
                <w:szCs w:val="22"/>
                <w:lang w:eastAsia="sr-Latn-CS"/>
              </w:rPr>
              <w:t xml:space="preserve">тих </w:t>
            </w:r>
            <w:r w:rsidRPr="00D25072">
              <w:rPr>
                <w:rFonts w:ascii="Arial" w:eastAsia="TimesNewRomanPSMT" w:hAnsi="Arial" w:cs="Arial"/>
                <w:sz w:val="22"/>
                <w:szCs w:val="22"/>
                <w:lang w:val="sr-Latn-CS" w:eastAsia="sr-Latn-CS"/>
              </w:rPr>
              <w:t>осталих лок</w:t>
            </w:r>
            <w:r w:rsidRPr="00D25072">
              <w:rPr>
                <w:rFonts w:ascii="Arial" w:eastAsia="TimesNewRomanPSMT" w:hAnsi="Arial" w:cs="Arial"/>
                <w:sz w:val="22"/>
                <w:szCs w:val="22"/>
                <w:lang w:eastAsia="sr-Latn-CS"/>
              </w:rPr>
              <w:t>а</w:t>
            </w:r>
            <w:r w:rsidRPr="00D25072">
              <w:rPr>
                <w:rFonts w:ascii="Arial" w:eastAsia="TimesNewRomanPSMT" w:hAnsi="Arial" w:cs="Arial"/>
                <w:sz w:val="22"/>
                <w:szCs w:val="22"/>
                <w:lang w:val="sr-Latn-CS" w:eastAsia="sr-Latn-CS"/>
              </w:rPr>
              <w:t xml:space="preserve">лних органа/организација/установа </w:t>
            </w:r>
          </w:p>
          <w:p w:rsidR="00D25072" w:rsidRPr="00D25072" w:rsidRDefault="00D25072" w:rsidP="00D25072">
            <w:pPr>
              <w:numPr>
                <w:ilvl w:val="0"/>
                <w:numId w:val="15"/>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D25072">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D25072">
              <w:rPr>
                <w:rFonts w:ascii="Arial" w:eastAsia="TimesNewRomanPSMT" w:hAnsi="Arial" w:cs="Arial"/>
                <w:b/>
                <w:sz w:val="22"/>
                <w:szCs w:val="22"/>
                <w:lang w:val="sr-Latn-CS" w:eastAsia="sr-Latn-CS"/>
              </w:rPr>
              <w:t>у</w:t>
            </w:r>
            <w:r w:rsidRPr="00D25072">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D25072" w:rsidRPr="00D25072" w:rsidRDefault="00D25072" w:rsidP="00D25072">
            <w:pPr>
              <w:numPr>
                <w:ilvl w:val="0"/>
                <w:numId w:val="15"/>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D25072">
              <w:rPr>
                <w:rFonts w:ascii="Arial" w:eastAsia="Calibri" w:hAnsi="Arial" w:cs="Arial"/>
                <w:sz w:val="22"/>
                <w:szCs w:val="22"/>
                <w:lang w:val="sr-Latn-CS" w:eastAsia="sr-Latn-CS"/>
              </w:rPr>
              <w:t xml:space="preserve">У случају да понуду подноси група понуђача, ове доказе доставити за </w:t>
            </w:r>
            <w:r w:rsidRPr="00D25072">
              <w:rPr>
                <w:rFonts w:ascii="Arial" w:eastAsia="Calibri" w:hAnsi="Arial" w:cs="Arial"/>
                <w:sz w:val="22"/>
                <w:szCs w:val="22"/>
                <w:lang w:val="sr-Latn-CS" w:eastAsia="sr-Latn-CS"/>
              </w:rPr>
              <w:lastRenderedPageBreak/>
              <w:t>сваког учесника из групе</w:t>
            </w:r>
          </w:p>
          <w:p w:rsidR="00D25072" w:rsidRPr="00D25072" w:rsidRDefault="00D25072" w:rsidP="00D25072">
            <w:pPr>
              <w:numPr>
                <w:ilvl w:val="0"/>
                <w:numId w:val="16"/>
              </w:numPr>
              <w:tabs>
                <w:tab w:val="left" w:pos="680"/>
              </w:tabs>
              <w:suppressAutoHyphens w:val="0"/>
              <w:snapToGrid w:val="0"/>
              <w:spacing w:before="120"/>
              <w:contextualSpacing/>
              <w:jc w:val="both"/>
              <w:rPr>
                <w:rFonts w:ascii="Arial" w:hAnsi="Arial" w:cs="Arial"/>
                <w:sz w:val="22"/>
                <w:szCs w:val="22"/>
                <w:lang w:val="sr-Latn-CS" w:eastAsia="sr-Latn-CS"/>
              </w:rPr>
            </w:pPr>
            <w:r w:rsidRPr="00D25072">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25072" w:rsidRPr="00D25072" w:rsidRDefault="00D25072" w:rsidP="00D25072">
            <w:pPr>
              <w:tabs>
                <w:tab w:val="left" w:pos="680"/>
              </w:tabs>
              <w:suppressAutoHyphens w:val="0"/>
              <w:snapToGrid w:val="0"/>
              <w:spacing w:before="120"/>
              <w:contextualSpacing/>
              <w:jc w:val="both"/>
              <w:rPr>
                <w:rFonts w:ascii="Arial" w:eastAsia="Calibri" w:hAnsi="Arial" w:cs="Arial"/>
                <w:sz w:val="22"/>
                <w:szCs w:val="22"/>
                <w:lang w:val="sr-Latn-RS" w:eastAsia="sr-Latn-CS"/>
              </w:rPr>
            </w:pPr>
            <w:r w:rsidRPr="00D25072">
              <w:rPr>
                <w:rFonts w:ascii="Arial" w:eastAsia="Calibri" w:hAnsi="Arial" w:cs="Arial"/>
                <w:b/>
                <w:sz w:val="22"/>
                <w:szCs w:val="22"/>
                <w:lang w:val="sr-Latn-CS" w:eastAsia="sr-Latn-CS"/>
              </w:rPr>
              <w:t xml:space="preserve">Ови докази не могу бити старији од два месеца </w:t>
            </w:r>
            <w:r w:rsidRPr="00D25072">
              <w:rPr>
                <w:rFonts w:ascii="Arial" w:eastAsia="Calibri" w:hAnsi="Arial" w:cs="Arial"/>
                <w:b/>
                <w:sz w:val="22"/>
                <w:szCs w:val="22"/>
                <w:lang w:eastAsia="sr-Latn-CS"/>
              </w:rPr>
              <w:t>пре</w:t>
            </w:r>
            <w:r w:rsidRPr="00D25072">
              <w:rPr>
                <w:rFonts w:ascii="Arial" w:eastAsia="Calibri" w:hAnsi="Arial" w:cs="Arial"/>
                <w:b/>
                <w:sz w:val="22"/>
                <w:szCs w:val="22"/>
                <w:lang w:val="sr-Latn-CS" w:eastAsia="sr-Latn-CS"/>
              </w:rPr>
              <w:t xml:space="preserve"> отварања понуда</w:t>
            </w:r>
            <w:r w:rsidRPr="00D25072">
              <w:rPr>
                <w:rFonts w:ascii="Arial" w:eastAsia="Calibri" w:hAnsi="Arial" w:cs="Arial"/>
                <w:sz w:val="22"/>
                <w:szCs w:val="22"/>
                <w:lang w:val="sr-Latn-CS" w:eastAsia="sr-Latn-CS"/>
              </w:rPr>
              <w:t>.</w:t>
            </w:r>
          </w:p>
        </w:tc>
      </w:tr>
      <w:tr w:rsidR="00D25072" w:rsidRPr="00D25072" w:rsidTr="00824C6B">
        <w:trPr>
          <w:jc w:val="center"/>
        </w:trPr>
        <w:tc>
          <w:tcPr>
            <w:tcW w:w="729" w:type="dxa"/>
            <w:vAlign w:val="center"/>
          </w:tcPr>
          <w:p w:rsidR="00D25072" w:rsidRPr="00D25072" w:rsidRDefault="00D25072" w:rsidP="00D25072">
            <w:pPr>
              <w:suppressAutoHyphens w:val="0"/>
              <w:spacing w:before="120"/>
              <w:jc w:val="center"/>
              <w:rPr>
                <w:rFonts w:ascii="Arial" w:hAnsi="Arial" w:cs="Arial"/>
                <w:sz w:val="22"/>
                <w:szCs w:val="22"/>
                <w:lang w:val="en-US" w:eastAsia="en-US"/>
              </w:rPr>
            </w:pPr>
            <w:r w:rsidRPr="00D25072">
              <w:rPr>
                <w:rFonts w:ascii="Arial" w:hAnsi="Arial" w:cs="Arial"/>
                <w:sz w:val="22"/>
                <w:szCs w:val="22"/>
                <w:lang w:val="en-US" w:eastAsia="en-US"/>
              </w:rPr>
              <w:lastRenderedPageBreak/>
              <w:t xml:space="preserve">4. </w:t>
            </w:r>
          </w:p>
        </w:tc>
        <w:tc>
          <w:tcPr>
            <w:tcW w:w="8430" w:type="dxa"/>
          </w:tcPr>
          <w:p w:rsidR="00D25072" w:rsidRPr="00D25072" w:rsidRDefault="00D25072" w:rsidP="00D25072">
            <w:pPr>
              <w:suppressAutoHyphens w:val="0"/>
              <w:snapToGrid w:val="0"/>
              <w:spacing w:before="120"/>
              <w:jc w:val="both"/>
              <w:rPr>
                <w:rFonts w:ascii="Arial" w:hAnsi="Arial" w:cs="Arial"/>
                <w:b/>
                <w:sz w:val="22"/>
                <w:szCs w:val="22"/>
                <w:u w:val="single"/>
                <w:lang w:val="sr-Latn-CS" w:eastAsia="sr-Latn-CS"/>
              </w:rPr>
            </w:pPr>
            <w:r w:rsidRPr="00D25072">
              <w:rPr>
                <w:rFonts w:ascii="Arial" w:hAnsi="Arial" w:cs="Arial"/>
                <w:b/>
                <w:sz w:val="22"/>
                <w:szCs w:val="22"/>
                <w:u w:val="single"/>
                <w:lang w:val="sr-Latn-CS" w:eastAsia="sr-Latn-CS"/>
              </w:rPr>
              <w:t>Услов:</w:t>
            </w:r>
          </w:p>
          <w:p w:rsidR="00D25072" w:rsidRPr="00D25072" w:rsidRDefault="00D25072" w:rsidP="00D25072">
            <w:pPr>
              <w:suppressAutoHyphens w:val="0"/>
              <w:snapToGrid w:val="0"/>
              <w:spacing w:before="120"/>
              <w:jc w:val="both"/>
              <w:rPr>
                <w:rFonts w:ascii="Arial" w:hAnsi="Arial" w:cs="Arial"/>
                <w:sz w:val="22"/>
                <w:szCs w:val="22"/>
                <w:lang w:val="sr-Latn-CS" w:eastAsia="sr-Latn-CS"/>
              </w:rPr>
            </w:pPr>
            <w:r w:rsidRPr="00D25072">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25072" w:rsidRPr="00D25072" w:rsidRDefault="00D25072" w:rsidP="00D25072">
            <w:pPr>
              <w:suppressAutoHyphens w:val="0"/>
              <w:autoSpaceDE w:val="0"/>
              <w:autoSpaceDN w:val="0"/>
              <w:adjustRightInd w:val="0"/>
              <w:spacing w:before="120"/>
              <w:jc w:val="both"/>
              <w:rPr>
                <w:rFonts w:ascii="Arial" w:hAnsi="Arial" w:cs="Arial"/>
                <w:b/>
                <w:sz w:val="22"/>
                <w:szCs w:val="22"/>
                <w:u w:val="single"/>
                <w:lang w:val="sr-Latn-CS" w:eastAsia="sr-Latn-CS"/>
              </w:rPr>
            </w:pPr>
            <w:r w:rsidRPr="00D25072">
              <w:rPr>
                <w:rFonts w:ascii="Arial" w:hAnsi="Arial" w:cs="Arial"/>
                <w:b/>
                <w:sz w:val="22"/>
                <w:szCs w:val="22"/>
                <w:u w:val="single"/>
                <w:lang w:val="sr-Latn-CS" w:eastAsia="sr-Latn-CS"/>
              </w:rPr>
              <w:t>Доказ:</w:t>
            </w:r>
          </w:p>
          <w:p w:rsidR="00D25072" w:rsidRPr="00D25072" w:rsidRDefault="00D25072" w:rsidP="00D25072">
            <w:pPr>
              <w:suppressAutoHyphens w:val="0"/>
              <w:spacing w:before="120"/>
              <w:jc w:val="both"/>
              <w:rPr>
                <w:rFonts w:ascii="Arial" w:hAnsi="Arial" w:cs="Arial"/>
                <w:b/>
                <w:sz w:val="22"/>
                <w:szCs w:val="22"/>
                <w:lang w:val="sr-Latn-CS" w:eastAsia="sr-Latn-CS"/>
              </w:rPr>
            </w:pPr>
            <w:r w:rsidRPr="00D25072">
              <w:rPr>
                <w:rFonts w:ascii="Arial" w:hAnsi="Arial" w:cs="Arial"/>
                <w:sz w:val="22"/>
                <w:szCs w:val="22"/>
                <w:lang w:val="sr-Latn-CS" w:eastAsia="sr-Latn-CS"/>
              </w:rPr>
              <w:t>Потписан и оверен Образац изјаве на основу члана 75. став 2. ЗЈН(Образац бр.4)</w:t>
            </w:r>
          </w:p>
          <w:p w:rsidR="00D25072" w:rsidRPr="00D25072" w:rsidRDefault="00D25072" w:rsidP="00D25072">
            <w:pPr>
              <w:suppressAutoHyphens w:val="0"/>
              <w:snapToGrid w:val="0"/>
              <w:spacing w:before="120"/>
              <w:jc w:val="both"/>
              <w:rPr>
                <w:rFonts w:ascii="Arial" w:hAnsi="Arial" w:cs="Arial"/>
                <w:sz w:val="22"/>
                <w:szCs w:val="22"/>
                <w:lang w:eastAsia="sr-Latn-CS"/>
              </w:rPr>
            </w:pPr>
            <w:r w:rsidRPr="00D25072">
              <w:rPr>
                <w:rFonts w:ascii="Arial" w:hAnsi="Arial" w:cs="Arial"/>
                <w:sz w:val="22"/>
                <w:szCs w:val="22"/>
                <w:lang w:val="sr-Latn-CS" w:eastAsia="sr-Latn-CS"/>
              </w:rPr>
              <w:t>Напомена:</w:t>
            </w:r>
          </w:p>
          <w:p w:rsidR="00D25072" w:rsidRPr="00D25072" w:rsidRDefault="00D25072" w:rsidP="00D25072">
            <w:pPr>
              <w:numPr>
                <w:ilvl w:val="0"/>
                <w:numId w:val="10"/>
              </w:numPr>
              <w:suppressAutoHyphens w:val="0"/>
              <w:snapToGrid w:val="0"/>
              <w:spacing w:before="120"/>
              <w:jc w:val="both"/>
              <w:rPr>
                <w:rFonts w:ascii="Arial" w:hAnsi="Arial" w:cs="Arial"/>
                <w:sz w:val="22"/>
                <w:szCs w:val="22"/>
                <w:lang w:eastAsia="sr-Latn-CS"/>
              </w:rPr>
            </w:pPr>
            <w:r w:rsidRPr="00D25072">
              <w:rPr>
                <w:rFonts w:ascii="Arial" w:hAnsi="Arial" w:cs="Arial"/>
                <w:sz w:val="22"/>
                <w:szCs w:val="22"/>
                <w:lang w:val="sr-Latn-CS" w:eastAsia="sr-Latn-CS"/>
              </w:rPr>
              <w:t xml:space="preserve">Изјава мора да буде потписана од стране овлашћеног лица </w:t>
            </w:r>
            <w:r w:rsidRPr="00D25072">
              <w:rPr>
                <w:rFonts w:ascii="Arial" w:hAnsi="Arial" w:cs="Arial"/>
                <w:sz w:val="22"/>
                <w:szCs w:val="22"/>
                <w:lang w:eastAsia="sr-Latn-CS"/>
              </w:rPr>
              <w:t>за заступање понуђача</w:t>
            </w:r>
            <w:r w:rsidRPr="00D25072">
              <w:rPr>
                <w:rFonts w:ascii="Arial" w:hAnsi="Arial" w:cs="Arial"/>
                <w:sz w:val="22"/>
                <w:szCs w:val="22"/>
                <w:lang w:val="sr-Latn-CS" w:eastAsia="sr-Latn-CS"/>
              </w:rPr>
              <w:t xml:space="preserve"> и оверена печатом. </w:t>
            </w:r>
          </w:p>
          <w:p w:rsidR="00D25072" w:rsidRPr="00D25072" w:rsidRDefault="00D25072" w:rsidP="00D25072">
            <w:pPr>
              <w:numPr>
                <w:ilvl w:val="0"/>
                <w:numId w:val="10"/>
              </w:numPr>
              <w:suppressAutoHyphens w:val="0"/>
              <w:snapToGrid w:val="0"/>
              <w:spacing w:before="120"/>
              <w:jc w:val="both"/>
              <w:rPr>
                <w:rFonts w:ascii="Arial" w:hAnsi="Arial" w:cs="Arial"/>
                <w:sz w:val="22"/>
                <w:szCs w:val="22"/>
                <w:lang w:val="sr-Latn-CS" w:eastAsia="sr-Latn-CS"/>
              </w:rPr>
            </w:pPr>
            <w:r w:rsidRPr="00D25072">
              <w:rPr>
                <w:rFonts w:ascii="Arial" w:hAnsi="Arial" w:cs="Arial"/>
                <w:sz w:val="22"/>
                <w:szCs w:val="22"/>
                <w:lang w:val="sr-Latn-CS" w:eastAsia="sr-Latn-CS"/>
              </w:rPr>
              <w:t xml:space="preserve">Уколико понуду подноси група понуђача, Изјава мора бити </w:t>
            </w:r>
            <w:r w:rsidRPr="00D25072">
              <w:rPr>
                <w:rFonts w:ascii="Arial" w:hAnsi="Arial" w:cs="Arial"/>
                <w:sz w:val="22"/>
                <w:szCs w:val="22"/>
                <w:lang w:eastAsia="sr-Latn-CS"/>
              </w:rPr>
              <w:t>достављена за сваког члана групе понуђача. Изјава мора бити</w:t>
            </w:r>
            <w:r w:rsidRPr="00D25072">
              <w:rPr>
                <w:rFonts w:ascii="Arial" w:hAnsi="Arial" w:cs="Arial"/>
                <w:sz w:val="22"/>
                <w:szCs w:val="22"/>
                <w:lang w:val="sr-Latn-CS" w:eastAsia="sr-Latn-CS"/>
              </w:rPr>
              <w:t xml:space="preserve"> потписана од стране овлашћеног лица </w:t>
            </w:r>
            <w:r w:rsidRPr="00D25072">
              <w:rPr>
                <w:rFonts w:ascii="Arial" w:hAnsi="Arial" w:cs="Arial"/>
                <w:sz w:val="22"/>
                <w:szCs w:val="22"/>
                <w:lang w:eastAsia="sr-Latn-CS"/>
              </w:rPr>
              <w:t xml:space="preserve">за заступање </w:t>
            </w:r>
            <w:r w:rsidRPr="00D25072">
              <w:rPr>
                <w:rFonts w:ascii="Arial" w:hAnsi="Arial" w:cs="Arial"/>
                <w:sz w:val="22"/>
                <w:szCs w:val="22"/>
                <w:lang w:val="sr-Latn-CS" w:eastAsia="sr-Latn-CS"/>
              </w:rPr>
              <w:t xml:space="preserve">понуђача из групе понуђача и оверена печатом.  </w:t>
            </w:r>
          </w:p>
          <w:p w:rsidR="00D25072" w:rsidRPr="00D25072" w:rsidRDefault="00D25072" w:rsidP="00D25072">
            <w:pPr>
              <w:numPr>
                <w:ilvl w:val="0"/>
                <w:numId w:val="10"/>
              </w:numPr>
              <w:tabs>
                <w:tab w:val="num" w:pos="723"/>
              </w:tabs>
              <w:suppressAutoHyphens w:val="0"/>
              <w:snapToGrid w:val="0"/>
              <w:spacing w:before="120"/>
              <w:ind w:left="723"/>
              <w:jc w:val="both"/>
              <w:rPr>
                <w:rFonts w:ascii="Arial" w:hAnsi="Arial" w:cs="Arial"/>
                <w:sz w:val="22"/>
                <w:szCs w:val="22"/>
                <w:lang w:val="sr-Latn-CS" w:eastAsia="sr-Latn-CS"/>
              </w:rPr>
            </w:pPr>
            <w:r w:rsidRPr="00D25072">
              <w:rPr>
                <w:rFonts w:ascii="Arial" w:hAnsi="Arial" w:cs="Arial"/>
                <w:sz w:val="22"/>
                <w:szCs w:val="22"/>
                <w:lang w:val="sr-Latn-CS" w:eastAsia="sr-Latn-CS"/>
              </w:rPr>
              <w:t xml:space="preserve">Уколико понуђач подноси понуду са подизвођачем, Изјава мора бити </w:t>
            </w:r>
            <w:r w:rsidRPr="00D25072">
              <w:rPr>
                <w:rFonts w:ascii="Arial" w:hAnsi="Arial" w:cs="Arial"/>
                <w:sz w:val="22"/>
                <w:szCs w:val="22"/>
                <w:lang w:eastAsia="sr-Latn-CS"/>
              </w:rPr>
              <w:t xml:space="preserve">достављена и за сваког </w:t>
            </w:r>
            <w:r w:rsidRPr="00D25072">
              <w:rPr>
                <w:rFonts w:ascii="Arial" w:hAnsi="Arial" w:cs="Arial"/>
                <w:sz w:val="22"/>
                <w:szCs w:val="22"/>
                <w:lang w:val="sr-Latn-CS" w:eastAsia="sr-Latn-CS"/>
              </w:rPr>
              <w:t>подизвођача.</w:t>
            </w:r>
            <w:r w:rsidRPr="00D25072">
              <w:rPr>
                <w:rFonts w:ascii="Arial" w:hAnsi="Arial" w:cs="Arial"/>
                <w:sz w:val="22"/>
                <w:szCs w:val="22"/>
                <w:lang w:eastAsia="sr-Latn-CS"/>
              </w:rPr>
              <w:t xml:space="preserve"> Изјава мора бити</w:t>
            </w:r>
            <w:r w:rsidRPr="00D25072">
              <w:rPr>
                <w:rFonts w:ascii="Arial" w:hAnsi="Arial" w:cs="Arial"/>
                <w:sz w:val="22"/>
                <w:szCs w:val="22"/>
                <w:lang w:val="sr-Latn-CS" w:eastAsia="sr-Latn-CS"/>
              </w:rPr>
              <w:t xml:space="preserve"> потписана од стране овлашћеног лица </w:t>
            </w:r>
            <w:r w:rsidRPr="00D25072">
              <w:rPr>
                <w:rFonts w:ascii="Arial" w:hAnsi="Arial" w:cs="Arial"/>
                <w:sz w:val="22"/>
                <w:szCs w:val="22"/>
                <w:lang w:eastAsia="sr-Latn-CS"/>
              </w:rPr>
              <w:t xml:space="preserve">за заступање </w:t>
            </w:r>
            <w:r w:rsidRPr="00D25072">
              <w:rPr>
                <w:rFonts w:ascii="Arial" w:hAnsi="Arial" w:cs="Arial"/>
                <w:sz w:val="22"/>
                <w:szCs w:val="22"/>
                <w:lang w:val="sr-Latn-CS" w:eastAsia="sr-Latn-CS"/>
              </w:rPr>
              <w:t xml:space="preserve">подизвођача и оверена печатом.  </w:t>
            </w:r>
          </w:p>
        </w:tc>
      </w:tr>
      <w:tr w:rsidR="00D25072" w:rsidRPr="00D25072" w:rsidTr="00824C6B">
        <w:trPr>
          <w:jc w:val="center"/>
        </w:trPr>
        <w:tc>
          <w:tcPr>
            <w:tcW w:w="729" w:type="dxa"/>
            <w:vAlign w:val="center"/>
          </w:tcPr>
          <w:p w:rsidR="00D25072" w:rsidRPr="00D25072" w:rsidRDefault="00D25072" w:rsidP="00D25072">
            <w:pPr>
              <w:suppressAutoHyphens w:val="0"/>
              <w:spacing w:before="120"/>
              <w:jc w:val="center"/>
              <w:rPr>
                <w:rFonts w:ascii="Arial" w:hAnsi="Arial" w:cs="Arial"/>
                <w:color w:val="00B0F0"/>
                <w:sz w:val="22"/>
                <w:szCs w:val="22"/>
                <w:lang w:val="en-US" w:eastAsia="en-US"/>
              </w:rPr>
            </w:pPr>
          </w:p>
        </w:tc>
        <w:tc>
          <w:tcPr>
            <w:tcW w:w="8430" w:type="dxa"/>
          </w:tcPr>
          <w:p w:rsidR="00D25072" w:rsidRPr="00D25072" w:rsidRDefault="00D25072" w:rsidP="00D25072">
            <w:pPr>
              <w:suppressAutoHyphens w:val="0"/>
              <w:spacing w:before="120"/>
              <w:ind w:right="-180"/>
              <w:jc w:val="center"/>
              <w:rPr>
                <w:rFonts w:ascii="Arial" w:hAnsi="Arial" w:cs="Arial"/>
                <w:b/>
                <w:sz w:val="22"/>
                <w:szCs w:val="22"/>
                <w:lang w:val="sr-Latn-CS" w:eastAsia="sr-Latn-CS"/>
              </w:rPr>
            </w:pPr>
            <w:r w:rsidRPr="00D25072">
              <w:rPr>
                <w:rFonts w:ascii="Arial" w:hAnsi="Arial" w:cs="Arial"/>
                <w:b/>
                <w:sz w:val="22"/>
                <w:szCs w:val="22"/>
                <w:lang w:val="sr-Latn-CS" w:eastAsia="sr-Latn-CS"/>
              </w:rPr>
              <w:t xml:space="preserve">4.2  ДОДАТНИ УСЛОВИ </w:t>
            </w:r>
          </w:p>
          <w:p w:rsidR="00D25072" w:rsidRPr="00D25072" w:rsidRDefault="00D25072" w:rsidP="00D25072">
            <w:pPr>
              <w:suppressAutoHyphens w:val="0"/>
              <w:snapToGrid w:val="0"/>
              <w:spacing w:before="120"/>
              <w:jc w:val="center"/>
              <w:rPr>
                <w:rFonts w:ascii="Arial" w:hAnsi="Arial" w:cs="Arial"/>
                <w:b/>
                <w:color w:val="00B0F0"/>
                <w:sz w:val="22"/>
                <w:szCs w:val="22"/>
                <w:lang w:val="sr-Cyrl-RS" w:eastAsia="sr-Latn-CS"/>
              </w:rPr>
            </w:pPr>
            <w:r w:rsidRPr="00D25072">
              <w:rPr>
                <w:rFonts w:ascii="Arial" w:hAnsi="Arial" w:cs="Arial"/>
                <w:b/>
                <w:sz w:val="22"/>
                <w:szCs w:val="22"/>
                <w:lang w:val="sr-Latn-CS" w:eastAsia="sr-Latn-CS"/>
              </w:rPr>
              <w:t>ЗА УЧЕШЋЕ У ПОСТУПКУ ЈАВНЕ НАБАВКЕ ИЗ ЧЛАНА 76. ЗАКОНА</w:t>
            </w:r>
          </w:p>
        </w:tc>
      </w:tr>
      <w:tr w:rsidR="00D25072" w:rsidRPr="00D25072" w:rsidTr="00824C6B">
        <w:trPr>
          <w:trHeight w:val="1160"/>
          <w:jc w:val="center"/>
        </w:trPr>
        <w:tc>
          <w:tcPr>
            <w:tcW w:w="729" w:type="dxa"/>
            <w:vAlign w:val="center"/>
          </w:tcPr>
          <w:p w:rsidR="00D25072" w:rsidRPr="00D25072" w:rsidRDefault="00D25072" w:rsidP="00D25072">
            <w:pPr>
              <w:suppressAutoHyphens w:val="0"/>
              <w:spacing w:before="120"/>
              <w:jc w:val="center"/>
              <w:rPr>
                <w:rFonts w:ascii="Arial" w:hAnsi="Arial" w:cs="Arial"/>
                <w:color w:val="00B0F0"/>
                <w:sz w:val="22"/>
                <w:szCs w:val="22"/>
                <w:lang w:val="en-US" w:eastAsia="en-US"/>
              </w:rPr>
            </w:pPr>
            <w:r w:rsidRPr="00D25072">
              <w:rPr>
                <w:rFonts w:ascii="Arial" w:hAnsi="Arial" w:cs="Arial"/>
                <w:sz w:val="22"/>
                <w:szCs w:val="22"/>
                <w:lang w:val="sr-Cyrl-RS" w:eastAsia="en-US"/>
              </w:rPr>
              <w:t>5</w:t>
            </w:r>
            <w:r w:rsidRPr="00D25072">
              <w:rPr>
                <w:rFonts w:ascii="Arial" w:hAnsi="Arial" w:cs="Arial"/>
                <w:sz w:val="22"/>
                <w:szCs w:val="22"/>
                <w:lang w:val="en-US" w:eastAsia="en-US"/>
              </w:rPr>
              <w:t>.</w:t>
            </w:r>
          </w:p>
        </w:tc>
        <w:tc>
          <w:tcPr>
            <w:tcW w:w="8430" w:type="dxa"/>
          </w:tcPr>
          <w:p w:rsidR="00D25072" w:rsidRPr="00D25072" w:rsidRDefault="00D25072" w:rsidP="00D25072">
            <w:pPr>
              <w:suppressAutoHyphens w:val="0"/>
              <w:autoSpaceDE w:val="0"/>
              <w:autoSpaceDN w:val="0"/>
              <w:adjustRightInd w:val="0"/>
              <w:spacing w:before="120"/>
              <w:rPr>
                <w:rFonts w:ascii="Arial" w:hAnsi="Arial" w:cs="Arial"/>
                <w:sz w:val="22"/>
                <w:szCs w:val="22"/>
                <w:lang w:val="sr-Cyrl-RS" w:eastAsia="sr-Latn-CS"/>
              </w:rPr>
            </w:pPr>
            <w:r w:rsidRPr="00D25072">
              <w:rPr>
                <w:rFonts w:ascii="Arial" w:hAnsi="Arial" w:cs="Arial"/>
                <w:b/>
                <w:sz w:val="22"/>
                <w:szCs w:val="22"/>
                <w:lang w:val="sr-Latn-CS" w:eastAsia="sr-Latn-CS"/>
              </w:rPr>
              <w:t>T</w:t>
            </w:r>
            <w:r w:rsidRPr="00D25072">
              <w:rPr>
                <w:rFonts w:ascii="Arial" w:hAnsi="Arial" w:cs="Arial"/>
                <w:b/>
                <w:sz w:val="22"/>
                <w:szCs w:val="22"/>
                <w:lang w:val="sr-Cyrl-RS" w:eastAsia="sr-Latn-CS"/>
              </w:rPr>
              <w:t>ехнички</w:t>
            </w:r>
            <w:r w:rsidRPr="00D25072">
              <w:rPr>
                <w:rFonts w:ascii="Arial" w:hAnsi="Arial" w:cs="Arial"/>
                <w:b/>
                <w:sz w:val="22"/>
                <w:szCs w:val="22"/>
                <w:lang w:val="sr-Latn-CS" w:eastAsia="sr-Latn-CS"/>
              </w:rPr>
              <w:t xml:space="preserve"> капацитет</w:t>
            </w:r>
            <w:r w:rsidRPr="00D25072">
              <w:rPr>
                <w:rFonts w:ascii="Arial" w:hAnsi="Arial" w:cs="Arial"/>
                <w:b/>
                <w:sz w:val="22"/>
                <w:szCs w:val="22"/>
                <w:lang w:val="sr-Cyrl-RS" w:eastAsia="sr-Latn-CS"/>
              </w:rPr>
              <w:t>:</w:t>
            </w:r>
            <w:r w:rsidRPr="005E4ECB">
              <w:rPr>
                <w:rFonts w:ascii="Arial" w:hAnsi="Arial" w:cs="Arial"/>
                <w:sz w:val="22"/>
                <w:szCs w:val="22"/>
                <w:lang w:val="sr-Cyrl-RS" w:eastAsia="sr-Latn-CS"/>
              </w:rPr>
              <w:t xml:space="preserve"> Понуђач мора поседовати у власништву или закупу следеће</w:t>
            </w:r>
          </w:p>
          <w:p w:rsidR="00D25072" w:rsidRPr="00D25072" w:rsidRDefault="00D25072" w:rsidP="00D25072">
            <w:pPr>
              <w:suppressAutoHyphens w:val="0"/>
              <w:autoSpaceDE w:val="0"/>
              <w:autoSpaceDN w:val="0"/>
              <w:adjustRightInd w:val="0"/>
              <w:spacing w:before="120"/>
              <w:jc w:val="both"/>
              <w:rPr>
                <w:rFonts w:ascii="Arial" w:hAnsi="Arial" w:cs="Arial"/>
                <w:b/>
                <w:sz w:val="22"/>
                <w:szCs w:val="22"/>
                <w:lang w:val="sr-Cyrl-RS" w:eastAsia="sr-Latn-CS"/>
              </w:rPr>
            </w:pPr>
            <w:r w:rsidRPr="00D25072">
              <w:rPr>
                <w:rFonts w:ascii="Arial" w:hAnsi="Arial" w:cs="Arial"/>
                <w:b/>
                <w:sz w:val="22"/>
                <w:szCs w:val="22"/>
                <w:u w:val="single"/>
                <w:lang w:val="sr-Latn-CS" w:eastAsia="sr-Latn-CS"/>
              </w:rPr>
              <w:t>Услов:</w:t>
            </w:r>
            <w:r w:rsidRPr="00D25072">
              <w:rPr>
                <w:rFonts w:ascii="Arial" w:hAnsi="Arial" w:cs="Arial"/>
                <w:sz w:val="22"/>
                <w:szCs w:val="22"/>
                <w:lang w:val="sr-Latn-CS" w:eastAsia="sr-Latn-CS"/>
              </w:rPr>
              <w:t xml:space="preserve"> </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Latn-RS" w:eastAsia="sr-Latn-CS"/>
              </w:rPr>
            </w:pPr>
            <w:r w:rsidRPr="00D25072">
              <w:rPr>
                <w:rFonts w:ascii="Arial" w:hAnsi="Arial" w:cs="Arial"/>
                <w:sz w:val="22"/>
                <w:szCs w:val="22"/>
                <w:lang w:val="sr-Cyrl-RS" w:eastAsia="sr-Latn-CS"/>
              </w:rPr>
              <w:t>- Мостна дизалица минимум 15</w:t>
            </w:r>
            <w:r w:rsidRPr="00D25072">
              <w:rPr>
                <w:rFonts w:ascii="Arial" w:hAnsi="Arial" w:cs="Arial"/>
                <w:sz w:val="22"/>
                <w:szCs w:val="22"/>
                <w:lang w:val="sr-Latn-RS" w:eastAsia="sr-Latn-CS"/>
              </w:rPr>
              <w:t>t</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Latn-RS" w:eastAsia="sr-Latn-CS"/>
              </w:rPr>
            </w:pPr>
            <w:r w:rsidRPr="00D25072">
              <w:rPr>
                <w:rFonts w:ascii="Arial" w:hAnsi="Arial" w:cs="Arial"/>
                <w:sz w:val="22"/>
                <w:szCs w:val="22"/>
                <w:lang w:val="sr-Latn-RS" w:eastAsia="sr-Latn-CS"/>
              </w:rPr>
              <w:t>-</w:t>
            </w:r>
            <w:r w:rsidRPr="00D25072">
              <w:rPr>
                <w:rFonts w:ascii="Arial" w:hAnsi="Arial" w:cs="Arial"/>
                <w:sz w:val="22"/>
                <w:szCs w:val="22"/>
                <w:lang w:val="sr-Cyrl-RS" w:eastAsia="sr-Latn-CS"/>
              </w:rPr>
              <w:t xml:space="preserve">Струг – карусел минимум </w:t>
            </w:r>
            <w:r w:rsidRPr="00D25072">
              <w:rPr>
                <w:rFonts w:ascii="Arial" w:hAnsi="Arial" w:cs="Arial"/>
                <w:sz w:val="22"/>
                <w:szCs w:val="22"/>
                <w:lang w:val="sr-Latn-RS" w:eastAsia="sr-Latn-CS"/>
              </w:rPr>
              <w:t>Fi 3000</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Latn-RS" w:eastAsia="sr-Latn-CS"/>
              </w:rPr>
            </w:pPr>
            <w:r w:rsidRPr="00D25072">
              <w:rPr>
                <w:rFonts w:ascii="Arial" w:hAnsi="Arial" w:cs="Arial"/>
                <w:sz w:val="22"/>
                <w:szCs w:val="22"/>
                <w:lang w:val="sr-Latn-RS" w:eastAsia="sr-Latn-CS"/>
              </w:rPr>
              <w:t>-A</w:t>
            </w:r>
            <w:r w:rsidRPr="00D25072">
              <w:rPr>
                <w:rFonts w:ascii="Arial" w:hAnsi="Arial" w:cs="Arial"/>
                <w:sz w:val="22"/>
                <w:szCs w:val="22"/>
                <w:lang w:val="sr-Cyrl-RS" w:eastAsia="sr-Latn-CS"/>
              </w:rPr>
              <w:t xml:space="preserve">парати за заваривање </w:t>
            </w:r>
            <w:r w:rsidRPr="00D25072">
              <w:rPr>
                <w:rFonts w:ascii="Arial" w:hAnsi="Arial" w:cs="Arial"/>
                <w:sz w:val="22"/>
                <w:szCs w:val="22"/>
                <w:lang w:val="sr-Latn-RS" w:eastAsia="sr-Latn-CS"/>
              </w:rPr>
              <w:t xml:space="preserve">ELR </w:t>
            </w:r>
            <w:r w:rsidRPr="00D25072">
              <w:rPr>
                <w:rFonts w:ascii="Arial" w:hAnsi="Arial" w:cs="Arial"/>
                <w:sz w:val="22"/>
                <w:szCs w:val="22"/>
                <w:lang w:val="sr-Cyrl-RS" w:eastAsia="sr-Latn-CS"/>
              </w:rPr>
              <w:t xml:space="preserve">и </w:t>
            </w:r>
            <w:r w:rsidRPr="00D25072">
              <w:rPr>
                <w:rFonts w:ascii="Arial" w:hAnsi="Arial" w:cs="Arial"/>
                <w:sz w:val="22"/>
                <w:szCs w:val="22"/>
                <w:lang w:val="sr-Latn-RS" w:eastAsia="sr-Latn-CS"/>
              </w:rPr>
              <w:t xml:space="preserve">WIG 2 </w:t>
            </w:r>
            <w:r w:rsidRPr="00D25072">
              <w:rPr>
                <w:rFonts w:ascii="Arial" w:hAnsi="Arial" w:cs="Arial"/>
                <w:sz w:val="22"/>
                <w:szCs w:val="22"/>
                <w:lang w:val="sr-Cyrl-RS" w:eastAsia="sr-Latn-CS"/>
              </w:rPr>
              <w:t>комада</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Cyrl-RS" w:eastAsia="sr-Latn-CS"/>
              </w:rPr>
            </w:pPr>
            <w:r w:rsidRPr="00D25072">
              <w:rPr>
                <w:rFonts w:ascii="Arial" w:hAnsi="Arial" w:cs="Arial"/>
                <w:sz w:val="22"/>
                <w:szCs w:val="22"/>
                <w:lang w:val="sr-Latn-RS" w:eastAsia="sr-Latn-CS"/>
              </w:rPr>
              <w:t>-A</w:t>
            </w:r>
            <w:r w:rsidRPr="00D25072">
              <w:rPr>
                <w:rFonts w:ascii="Arial" w:hAnsi="Arial" w:cs="Arial"/>
                <w:sz w:val="22"/>
                <w:szCs w:val="22"/>
                <w:lang w:val="sr-Cyrl-RS" w:eastAsia="sr-Latn-CS"/>
              </w:rPr>
              <w:t>парат за оджаривање и предгревање 1 комад</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Cyrl-RS" w:eastAsia="sr-Latn-CS"/>
              </w:rPr>
            </w:pPr>
            <w:r w:rsidRPr="00D25072">
              <w:rPr>
                <w:rFonts w:ascii="Arial" w:hAnsi="Arial" w:cs="Arial"/>
                <w:sz w:val="22"/>
                <w:szCs w:val="22"/>
                <w:lang w:val="sr-Latn-RS" w:eastAsia="sr-Latn-CS"/>
              </w:rPr>
              <w:t>-</w:t>
            </w:r>
            <w:r w:rsidRPr="00D25072">
              <w:rPr>
                <w:rFonts w:ascii="Arial" w:hAnsi="Arial" w:cs="Arial"/>
                <w:sz w:val="22"/>
                <w:szCs w:val="22"/>
                <w:lang w:val="sr-Cyrl-RS" w:eastAsia="sr-Latn-CS"/>
              </w:rPr>
              <w:t>Струг универзални радне дужине мин. 1,5</w:t>
            </w:r>
            <w:r w:rsidRPr="00D25072">
              <w:rPr>
                <w:rFonts w:ascii="Arial" w:hAnsi="Arial" w:cs="Arial"/>
                <w:sz w:val="22"/>
                <w:szCs w:val="22"/>
                <w:lang w:val="sr-Latn-RS" w:eastAsia="sr-Latn-CS"/>
              </w:rPr>
              <w:t>m 1</w:t>
            </w:r>
            <w:r w:rsidRPr="00D25072">
              <w:rPr>
                <w:rFonts w:ascii="Arial" w:hAnsi="Arial" w:cs="Arial"/>
                <w:sz w:val="22"/>
                <w:szCs w:val="22"/>
                <w:lang w:val="sr-Cyrl-RS" w:eastAsia="sr-Latn-CS"/>
              </w:rPr>
              <w:t>комад</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Cyrl-RS" w:eastAsia="sr-Latn-CS"/>
              </w:rPr>
            </w:pPr>
            <w:r w:rsidRPr="00D25072">
              <w:rPr>
                <w:rFonts w:ascii="Arial" w:hAnsi="Arial" w:cs="Arial"/>
                <w:sz w:val="22"/>
                <w:szCs w:val="22"/>
                <w:lang w:val="sr-Cyrl-RS" w:eastAsia="sr-Latn-CS"/>
              </w:rPr>
              <w:t>-Глодалица универзална 1 комад</w:t>
            </w:r>
          </w:p>
          <w:p w:rsidR="00D25072" w:rsidRPr="00D25072" w:rsidRDefault="00D25072" w:rsidP="00D25072">
            <w:pPr>
              <w:suppressAutoHyphens w:val="0"/>
              <w:autoSpaceDE w:val="0"/>
              <w:autoSpaceDN w:val="0"/>
              <w:adjustRightInd w:val="0"/>
              <w:spacing w:before="120"/>
              <w:jc w:val="both"/>
              <w:rPr>
                <w:rFonts w:ascii="Arial" w:hAnsi="Arial" w:cs="Arial"/>
                <w:sz w:val="22"/>
                <w:szCs w:val="22"/>
                <w:lang w:val="sr-Cyrl-RS" w:eastAsia="sr-Latn-CS"/>
              </w:rPr>
            </w:pPr>
            <w:r w:rsidRPr="00D25072">
              <w:rPr>
                <w:rFonts w:ascii="Arial" w:hAnsi="Arial" w:cs="Arial"/>
                <w:sz w:val="22"/>
                <w:szCs w:val="22"/>
                <w:lang w:val="sr-Cyrl-RS" w:eastAsia="sr-Latn-CS"/>
              </w:rPr>
              <w:t>-Бушилица НВ – борверк 1 комад</w:t>
            </w:r>
          </w:p>
          <w:p w:rsidR="00D25072" w:rsidRPr="00D25072" w:rsidRDefault="00D25072" w:rsidP="00D25072">
            <w:pPr>
              <w:suppressAutoHyphens w:val="0"/>
              <w:autoSpaceDE w:val="0"/>
              <w:autoSpaceDN w:val="0"/>
              <w:adjustRightInd w:val="0"/>
              <w:spacing w:before="120"/>
              <w:jc w:val="both"/>
              <w:rPr>
                <w:rFonts w:ascii="Arial" w:hAnsi="Arial" w:cs="Arial"/>
                <w:b/>
                <w:sz w:val="22"/>
                <w:szCs w:val="22"/>
                <w:lang w:val="sr-Cyrl-RS" w:eastAsia="sr-Latn-CS"/>
              </w:rPr>
            </w:pPr>
            <w:r w:rsidRPr="00D25072">
              <w:rPr>
                <w:rFonts w:ascii="Arial" w:hAnsi="Arial" w:cs="Arial"/>
                <w:sz w:val="22"/>
                <w:szCs w:val="22"/>
                <w:lang w:val="sr-Cyrl-RS" w:eastAsia="sr-Latn-CS"/>
              </w:rPr>
              <w:t>-Опрема за испитивање арматуре под притиском – испитни сто или клипна пумпа са баждареним манометром</w:t>
            </w:r>
          </w:p>
          <w:p w:rsidR="00D25072" w:rsidRPr="00D25072" w:rsidRDefault="00D25072" w:rsidP="00D25072">
            <w:pPr>
              <w:suppressAutoHyphens w:val="0"/>
              <w:autoSpaceDE w:val="0"/>
              <w:autoSpaceDN w:val="0"/>
              <w:adjustRightInd w:val="0"/>
              <w:spacing w:before="120"/>
              <w:jc w:val="both"/>
              <w:rPr>
                <w:rFonts w:ascii="Arial" w:hAnsi="Arial" w:cs="Arial"/>
                <w:b/>
                <w:sz w:val="22"/>
                <w:szCs w:val="22"/>
                <w:u w:val="single"/>
                <w:lang w:val="sr-Latn-CS" w:eastAsia="sr-Latn-CS"/>
              </w:rPr>
            </w:pPr>
            <w:r w:rsidRPr="00D25072">
              <w:rPr>
                <w:rFonts w:ascii="Arial" w:hAnsi="Arial" w:cs="Arial"/>
                <w:b/>
                <w:sz w:val="22"/>
                <w:szCs w:val="22"/>
                <w:u w:val="single"/>
                <w:lang w:val="sr-Latn-CS" w:eastAsia="sr-Latn-CS"/>
              </w:rPr>
              <w:t xml:space="preserve">Доказ: </w:t>
            </w:r>
          </w:p>
          <w:p w:rsidR="006A1E65" w:rsidRPr="006A1E65" w:rsidRDefault="00D25072" w:rsidP="00D25072">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D25072">
              <w:rPr>
                <w:rFonts w:ascii="Arial" w:eastAsia="Calibri" w:hAnsi="Arial" w:cs="Arial"/>
                <w:sz w:val="22"/>
                <w:szCs w:val="22"/>
                <w:lang w:val="sr-Cyrl-RS" w:eastAsia="sr-Latn-CS"/>
              </w:rPr>
              <w:t>Потписан и оверен списак са детаљним техничким описом, фабричким</w:t>
            </w:r>
          </w:p>
          <w:p w:rsidR="006A1E65" w:rsidRDefault="006A1E65" w:rsidP="006A1E65">
            <w:p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sr-Latn-CS"/>
              </w:rPr>
            </w:pPr>
          </w:p>
          <w:p w:rsidR="00D25072" w:rsidRDefault="006A1E65" w:rsidP="006A1E65">
            <w:p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Pr>
                <w:rFonts w:ascii="Arial" w:eastAsia="Calibri" w:hAnsi="Arial" w:cs="Arial"/>
                <w:sz w:val="22"/>
                <w:szCs w:val="22"/>
                <w:lang w:val="sr-Latn-RS" w:eastAsia="sr-Latn-CS"/>
              </w:rPr>
              <w:t xml:space="preserve">        </w:t>
            </w:r>
            <w:r w:rsidR="00D25072" w:rsidRPr="00D25072">
              <w:rPr>
                <w:rFonts w:ascii="Arial" w:eastAsia="Calibri" w:hAnsi="Arial" w:cs="Arial"/>
                <w:sz w:val="22"/>
                <w:szCs w:val="22"/>
                <w:lang w:val="sr-Cyrl-RS" w:eastAsia="sr-Latn-CS"/>
              </w:rPr>
              <w:t xml:space="preserve">бројевима, атестима ИЛИ извод из картице основних средстава на дан </w:t>
            </w:r>
            <w:r>
              <w:rPr>
                <w:rFonts w:ascii="Arial" w:eastAsia="Calibri" w:hAnsi="Arial" w:cs="Arial"/>
                <w:sz w:val="22"/>
                <w:szCs w:val="22"/>
                <w:lang w:val="sr-Latn-RS" w:eastAsia="sr-Latn-CS"/>
              </w:rPr>
              <w:t xml:space="preserve">    </w:t>
            </w:r>
            <w:r w:rsidR="00D25072" w:rsidRPr="00D25072">
              <w:rPr>
                <w:rFonts w:ascii="Arial" w:eastAsia="Calibri" w:hAnsi="Arial" w:cs="Arial"/>
                <w:sz w:val="22"/>
                <w:szCs w:val="22"/>
                <w:lang w:val="sr-Cyrl-RS" w:eastAsia="sr-Latn-CS"/>
              </w:rPr>
              <w:t>31.12.2017. године</w:t>
            </w:r>
          </w:p>
          <w:p w:rsidR="00D25072" w:rsidRPr="00D25072" w:rsidRDefault="00D25072" w:rsidP="00540429">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D25072">
              <w:rPr>
                <w:rFonts w:ascii="Arial" w:eastAsia="Calibri" w:hAnsi="Arial" w:cs="Arial"/>
                <w:sz w:val="22"/>
                <w:szCs w:val="22"/>
                <w:lang w:val="sr-Cyrl-RS" w:eastAsia="sr-Latn-CS"/>
              </w:rPr>
              <w:t xml:space="preserve"> </w:t>
            </w:r>
            <w:r w:rsidR="00540429">
              <w:rPr>
                <w:rFonts w:ascii="Arial" w:eastAsia="Calibri" w:hAnsi="Arial" w:cs="Arial"/>
                <w:sz w:val="22"/>
                <w:szCs w:val="22"/>
                <w:lang w:val="sr-Cyrl-RS" w:eastAsia="sr-Latn-CS"/>
              </w:rPr>
              <w:t>Уговор о закупу (уколико је опрема закупљена)</w:t>
            </w:r>
          </w:p>
          <w:p w:rsidR="00D25072" w:rsidRPr="00D25072" w:rsidRDefault="00D25072" w:rsidP="00D25072">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Cyrl-RS" w:eastAsia="sr-Latn-CS"/>
              </w:rPr>
            </w:pPr>
            <w:r w:rsidRPr="00D25072">
              <w:rPr>
                <w:rFonts w:ascii="Arial" w:eastAsia="Calibri" w:hAnsi="Arial" w:cs="Arial"/>
                <w:sz w:val="22"/>
                <w:szCs w:val="22"/>
                <w:lang w:val="sr-Cyrl-RS" w:eastAsia="sr-Latn-CS"/>
              </w:rPr>
              <w:t>Потврде  о извршеним периодичним прегледима са лиценцом овлашћене установе  и лица која су вршила преглед опреме</w:t>
            </w:r>
          </w:p>
          <w:p w:rsidR="00D25072" w:rsidRPr="00D25072" w:rsidRDefault="00D25072" w:rsidP="00D25072">
            <w:pPr>
              <w:suppressAutoHyphens w:val="0"/>
              <w:autoSpaceDE w:val="0"/>
              <w:autoSpaceDN w:val="0"/>
              <w:adjustRightInd w:val="0"/>
              <w:ind w:left="279" w:hanging="220"/>
              <w:jc w:val="both"/>
              <w:rPr>
                <w:rFonts w:ascii="Arial" w:hAnsi="Arial" w:cs="Arial"/>
                <w:sz w:val="22"/>
                <w:szCs w:val="22"/>
                <w:lang w:val="sr-Cyrl-RS" w:eastAsia="sr-Latn-CS"/>
              </w:rPr>
            </w:pPr>
            <w:r w:rsidRPr="00D25072">
              <w:rPr>
                <w:rFonts w:ascii="Arial" w:hAnsi="Arial" w:cs="Arial"/>
                <w:b/>
                <w:sz w:val="22"/>
                <w:szCs w:val="22"/>
                <w:u w:val="single"/>
                <w:lang w:val="sr-Latn-CS" w:eastAsia="sr-Latn-CS"/>
              </w:rPr>
              <w:t>Напомена:</w:t>
            </w:r>
          </w:p>
          <w:p w:rsidR="00D25072" w:rsidRPr="00D25072" w:rsidRDefault="00D25072" w:rsidP="00D25072">
            <w:pPr>
              <w:numPr>
                <w:ilvl w:val="0"/>
                <w:numId w:val="10"/>
              </w:numPr>
              <w:suppressAutoHyphens w:val="0"/>
              <w:snapToGrid w:val="0"/>
              <w:spacing w:before="120"/>
              <w:jc w:val="both"/>
              <w:rPr>
                <w:rFonts w:ascii="Arial" w:hAnsi="Arial" w:cs="Arial"/>
                <w:sz w:val="22"/>
                <w:szCs w:val="22"/>
                <w:lang w:val="sr-Latn-CS" w:eastAsia="sr-Latn-CS"/>
              </w:rPr>
            </w:pPr>
            <w:r w:rsidRPr="00D25072">
              <w:rPr>
                <w:rFonts w:ascii="Arial" w:hAnsi="Arial" w:cs="Arial"/>
                <w:sz w:val="22"/>
                <w:szCs w:val="22"/>
                <w:lang w:val="sr-Latn-CS" w:eastAsia="sr-Latn-CS"/>
              </w:rPr>
              <w:t>У случају да понуду подноси група понуђача, доказ</w:t>
            </w:r>
            <w:r w:rsidRPr="00D25072">
              <w:rPr>
                <w:rFonts w:ascii="Arial" w:hAnsi="Arial" w:cs="Arial"/>
                <w:sz w:val="22"/>
                <w:szCs w:val="22"/>
                <w:lang w:val="sr-Cyrl-RS" w:eastAsia="sr-Latn-CS"/>
              </w:rPr>
              <w:t>е</w:t>
            </w:r>
            <w:r w:rsidRPr="00D25072">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D25072">
              <w:rPr>
                <w:rFonts w:ascii="Arial" w:hAnsi="Arial" w:cs="Arial"/>
                <w:sz w:val="22"/>
                <w:szCs w:val="22"/>
                <w:lang w:val="sr-Cyrl-RS" w:eastAsia="sr-Latn-CS"/>
              </w:rPr>
              <w:t>доказ</w:t>
            </w:r>
            <w:r w:rsidRPr="00D25072">
              <w:rPr>
                <w:rFonts w:ascii="Arial" w:hAnsi="Arial" w:cs="Arial"/>
                <w:sz w:val="22"/>
                <w:szCs w:val="22"/>
                <w:lang w:val="sr-Latn-CS" w:eastAsia="sr-Latn-CS"/>
              </w:rPr>
              <w:t>), а уколико више њих заједно испуњавају услов из тачке овај доказ доставити за те чланове.</w:t>
            </w:r>
          </w:p>
          <w:p w:rsidR="00D25072" w:rsidRPr="00D25072" w:rsidRDefault="00D25072" w:rsidP="00D25072">
            <w:pPr>
              <w:numPr>
                <w:ilvl w:val="0"/>
                <w:numId w:val="10"/>
              </w:numPr>
              <w:suppressAutoHyphens w:val="0"/>
              <w:snapToGrid w:val="0"/>
              <w:spacing w:before="120"/>
              <w:jc w:val="both"/>
              <w:rPr>
                <w:rFonts w:ascii="Arial" w:hAnsi="Arial" w:cs="Arial"/>
                <w:color w:val="00B0F0"/>
                <w:sz w:val="22"/>
                <w:szCs w:val="22"/>
                <w:lang w:val="sr-Latn-CS" w:eastAsia="sr-Latn-CS"/>
              </w:rPr>
            </w:pPr>
            <w:r w:rsidRPr="00D25072">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lastRenderedPageBreak/>
        <w:t xml:space="preserve">Понуда понуђача који не докаже да испуњава наведене обавезне и додатне услове из тачака 1.до </w:t>
      </w:r>
      <w:r w:rsidRPr="00D25072">
        <w:rPr>
          <w:rFonts w:ascii="Arial" w:hAnsi="Arial" w:cs="Arial"/>
          <w:sz w:val="22"/>
          <w:szCs w:val="22"/>
          <w:lang w:val="sr-Cyrl-RS" w:eastAsia="zh-CN"/>
        </w:rPr>
        <w:t>5.</w:t>
      </w:r>
      <w:r w:rsidRPr="00D25072">
        <w:rPr>
          <w:rFonts w:ascii="Arial" w:hAnsi="Arial" w:cs="Arial"/>
          <w:sz w:val="22"/>
          <w:szCs w:val="22"/>
          <w:lang w:val="en-US" w:eastAsia="zh-CN"/>
        </w:rPr>
        <w:t xml:space="preserve"> овог обрасца, биће одбијена као неприхватљива.</w:t>
      </w:r>
    </w:p>
    <w:p w:rsidR="00D25072" w:rsidRPr="00D25072" w:rsidRDefault="00D25072" w:rsidP="00D25072">
      <w:pPr>
        <w:suppressAutoHyphens w:val="0"/>
        <w:spacing w:before="120"/>
        <w:jc w:val="both"/>
        <w:rPr>
          <w:rFonts w:ascii="Arial" w:hAnsi="Arial" w:cs="Arial"/>
          <w:sz w:val="22"/>
          <w:szCs w:val="22"/>
          <w:lang w:val="en-US" w:eastAsia="en-US"/>
        </w:rPr>
      </w:pPr>
      <w:r w:rsidRPr="00D25072">
        <w:rPr>
          <w:rFonts w:ascii="Arial" w:hAnsi="Arial" w:cs="Arial"/>
          <w:sz w:val="22"/>
          <w:szCs w:val="22"/>
          <w:lang w:val="en-US" w:eastAsia="en-US"/>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6A1E65" w:rsidRDefault="006A1E65" w:rsidP="00D25072">
      <w:pPr>
        <w:suppressAutoHyphens w:val="0"/>
        <w:jc w:val="both"/>
        <w:rPr>
          <w:rFonts w:ascii="Arial" w:hAnsi="Arial" w:cs="Arial"/>
          <w:sz w:val="22"/>
          <w:szCs w:val="22"/>
          <w:lang w:val="en-US" w:eastAsia="en-US"/>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 xml:space="preserve">2. Сваки понуђач из групе понуђача  која подноси заједничку понуду мора да испуњава услове из члана 75. став 1. тачка 1), 2) и 4) </w:t>
      </w:r>
      <w:r w:rsidRPr="00D25072">
        <w:rPr>
          <w:rFonts w:ascii="Arial" w:hAnsi="Arial" w:cs="Arial"/>
          <w:sz w:val="22"/>
          <w:szCs w:val="22"/>
          <w:lang w:val="en-US" w:eastAsia="en-US"/>
        </w:rPr>
        <w:t xml:space="preserve">и члана 75. став 2. </w:t>
      </w:r>
      <w:r w:rsidRPr="00D25072">
        <w:rPr>
          <w:rFonts w:ascii="Arial" w:hAnsi="Arial" w:cs="Arial"/>
          <w:sz w:val="22"/>
          <w:szCs w:val="22"/>
          <w:lang w:val="en-US"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D25072" w:rsidRPr="00D25072" w:rsidRDefault="00D25072" w:rsidP="00D25072">
      <w:pPr>
        <w:suppressAutoHyphens w:val="0"/>
        <w:jc w:val="both"/>
        <w:rPr>
          <w:rFonts w:ascii="Arial" w:hAnsi="Arial" w:cs="Arial"/>
          <w:sz w:val="22"/>
          <w:szCs w:val="22"/>
          <w:lang w:val="en-US" w:eastAsia="zh-CN"/>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25072" w:rsidRPr="00D25072" w:rsidRDefault="00D25072" w:rsidP="00D25072">
      <w:pPr>
        <w:suppressAutoHyphens w:val="0"/>
        <w:jc w:val="both"/>
        <w:rPr>
          <w:rFonts w:ascii="Arial" w:hAnsi="Arial" w:cs="Arial"/>
          <w:sz w:val="22"/>
          <w:szCs w:val="22"/>
          <w:lang w:val="en-US" w:eastAsia="zh-CN"/>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D25072" w:rsidRPr="00D25072" w:rsidRDefault="00D25072" w:rsidP="00D25072">
      <w:pPr>
        <w:suppressAutoHyphens w:val="0"/>
        <w:ind w:firstLine="720"/>
        <w:jc w:val="both"/>
        <w:rPr>
          <w:rFonts w:ascii="Arial" w:hAnsi="Arial" w:cs="Arial"/>
          <w:sz w:val="22"/>
          <w:szCs w:val="22"/>
          <w:lang w:val="en-US" w:eastAsia="zh-CN"/>
        </w:rPr>
      </w:pPr>
      <w:r w:rsidRPr="00D25072">
        <w:rPr>
          <w:rFonts w:ascii="Arial" w:hAnsi="Arial" w:cs="Arial"/>
          <w:sz w:val="22"/>
          <w:szCs w:val="22"/>
          <w:lang w:val="en-US" w:eastAsia="zh-CN"/>
        </w:rPr>
        <w:t>1)извод из регистра надлежног органа:</w:t>
      </w:r>
    </w:p>
    <w:p w:rsidR="00D25072" w:rsidRPr="00D25072" w:rsidRDefault="00D25072" w:rsidP="00D25072">
      <w:pPr>
        <w:suppressAutoHyphens w:val="0"/>
        <w:ind w:firstLine="720"/>
        <w:jc w:val="both"/>
        <w:rPr>
          <w:rFonts w:ascii="Arial" w:hAnsi="Arial" w:cs="Arial"/>
          <w:sz w:val="22"/>
          <w:szCs w:val="22"/>
          <w:lang w:val="en-US" w:eastAsia="zh-CN"/>
        </w:rPr>
      </w:pPr>
      <w:r w:rsidRPr="00D25072">
        <w:rPr>
          <w:rFonts w:ascii="Arial" w:hAnsi="Arial" w:cs="Arial"/>
          <w:sz w:val="22"/>
          <w:szCs w:val="22"/>
          <w:lang w:val="en-US" w:eastAsia="zh-CN"/>
        </w:rPr>
        <w:lastRenderedPageBreak/>
        <w:t xml:space="preserve">-извод из регистра АПР: </w:t>
      </w:r>
      <w:hyperlink r:id="rId9" w:history="1">
        <w:r w:rsidRPr="00D25072">
          <w:rPr>
            <w:rFonts w:ascii="Arial" w:hAnsi="Arial" w:cs="Arial"/>
            <w:sz w:val="22"/>
            <w:szCs w:val="22"/>
            <w:u w:val="single"/>
            <w:lang w:val="en-US" w:eastAsia="zh-CN"/>
          </w:rPr>
          <w:t>www.apr.gov.rs</w:t>
        </w:r>
      </w:hyperlink>
    </w:p>
    <w:p w:rsidR="00D25072" w:rsidRPr="00D25072" w:rsidRDefault="00D25072" w:rsidP="00D25072">
      <w:pPr>
        <w:suppressAutoHyphens w:val="0"/>
        <w:ind w:firstLine="720"/>
        <w:jc w:val="both"/>
        <w:rPr>
          <w:rFonts w:ascii="Arial" w:hAnsi="Arial" w:cs="Arial"/>
          <w:sz w:val="22"/>
          <w:szCs w:val="22"/>
          <w:lang w:val="en-US" w:eastAsia="zh-CN"/>
        </w:rPr>
      </w:pPr>
      <w:r w:rsidRPr="00D25072">
        <w:rPr>
          <w:rFonts w:ascii="Arial" w:hAnsi="Arial" w:cs="Arial"/>
          <w:sz w:val="22"/>
          <w:szCs w:val="22"/>
          <w:lang w:val="en-US" w:eastAsia="zh-CN"/>
        </w:rPr>
        <w:t>2)докази из члана 75. став 1. тачка 1) ,2) и 4) Закона</w:t>
      </w:r>
    </w:p>
    <w:p w:rsidR="00D25072" w:rsidRPr="00D25072" w:rsidRDefault="00D25072" w:rsidP="00D25072">
      <w:pPr>
        <w:suppressAutoHyphens w:val="0"/>
        <w:ind w:firstLine="720"/>
        <w:jc w:val="both"/>
        <w:rPr>
          <w:rFonts w:ascii="Arial" w:hAnsi="Arial" w:cs="Arial"/>
          <w:sz w:val="22"/>
          <w:szCs w:val="22"/>
          <w:lang w:val="en-US" w:eastAsia="en-US"/>
        </w:rPr>
      </w:pPr>
      <w:r w:rsidRPr="00D25072">
        <w:rPr>
          <w:rFonts w:ascii="Arial" w:hAnsi="Arial" w:cs="Arial"/>
          <w:sz w:val="22"/>
          <w:szCs w:val="22"/>
          <w:lang w:val="en-US" w:eastAsia="zh-CN"/>
        </w:rPr>
        <w:t xml:space="preserve">-регистар понуђача: </w:t>
      </w:r>
      <w:hyperlink r:id="rId10" w:history="1">
        <w:r w:rsidRPr="00D25072">
          <w:rPr>
            <w:rFonts w:ascii="Arial" w:hAnsi="Arial" w:cs="Arial"/>
            <w:sz w:val="22"/>
            <w:szCs w:val="22"/>
            <w:u w:val="single"/>
            <w:lang w:val="en-US" w:eastAsia="zh-CN"/>
          </w:rPr>
          <w:t>www.apr.gov.rs</w:t>
        </w:r>
      </w:hyperlink>
    </w:p>
    <w:p w:rsidR="00D25072" w:rsidRPr="00D25072" w:rsidRDefault="00D25072" w:rsidP="00D25072">
      <w:pPr>
        <w:suppressAutoHyphens w:val="0"/>
        <w:ind w:firstLine="720"/>
        <w:jc w:val="both"/>
        <w:rPr>
          <w:rFonts w:ascii="Arial" w:hAnsi="Arial" w:cs="Arial"/>
          <w:sz w:val="22"/>
          <w:szCs w:val="22"/>
          <w:lang w:val="en-US" w:eastAsia="zh-CN"/>
        </w:rPr>
      </w:pPr>
    </w:p>
    <w:p w:rsidR="00D25072" w:rsidRPr="00D25072" w:rsidRDefault="00D25072" w:rsidP="00D25072">
      <w:pPr>
        <w:suppressAutoHyphens w:val="0"/>
        <w:jc w:val="both"/>
        <w:rPr>
          <w:rFonts w:ascii="Arial" w:hAnsi="Arial" w:cs="Arial"/>
          <w:sz w:val="22"/>
          <w:szCs w:val="22"/>
          <w:lang w:eastAsia="zh-CN"/>
        </w:rPr>
      </w:pPr>
      <w:r w:rsidRPr="00D25072">
        <w:rPr>
          <w:rFonts w:ascii="Arial" w:hAnsi="Arial" w:cs="Arial"/>
          <w:sz w:val="22"/>
          <w:szCs w:val="22"/>
          <w:lang w:eastAsia="zh-CN"/>
        </w:rPr>
        <w:t>5</w:t>
      </w:r>
      <w:r w:rsidRPr="00D25072">
        <w:rPr>
          <w:rFonts w:ascii="Arial" w:hAnsi="Arial" w:cs="Arial"/>
          <w:sz w:val="22"/>
          <w:szCs w:val="22"/>
          <w:lang w:val="en-U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25072">
        <w:rPr>
          <w:rFonts w:ascii="Arial" w:hAnsi="Arial" w:cs="Arial"/>
          <w:sz w:val="22"/>
          <w:szCs w:val="22"/>
          <w:lang w:eastAsia="zh-CN"/>
        </w:rPr>
        <w:t>.</w:t>
      </w:r>
    </w:p>
    <w:p w:rsidR="00D25072" w:rsidRPr="00D25072" w:rsidRDefault="00D25072" w:rsidP="00D25072">
      <w:pPr>
        <w:suppressAutoHyphens w:val="0"/>
        <w:jc w:val="both"/>
        <w:rPr>
          <w:rFonts w:ascii="Arial" w:hAnsi="Arial" w:cs="Arial"/>
          <w:sz w:val="22"/>
          <w:szCs w:val="22"/>
          <w:lang w:eastAsia="zh-CN"/>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eastAsia="zh-CN"/>
        </w:rPr>
        <w:t>6</w:t>
      </w:r>
      <w:r w:rsidRPr="00D25072">
        <w:rPr>
          <w:rFonts w:ascii="Arial" w:hAnsi="Arial" w:cs="Arial"/>
          <w:sz w:val="22"/>
          <w:szCs w:val="22"/>
          <w:lang w:val="en-U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25072" w:rsidRPr="00D25072" w:rsidRDefault="00D25072" w:rsidP="00D25072">
      <w:pPr>
        <w:suppressAutoHyphens w:val="0"/>
        <w:jc w:val="both"/>
        <w:rPr>
          <w:rFonts w:ascii="Arial" w:hAnsi="Arial" w:cs="Arial"/>
          <w:sz w:val="22"/>
          <w:szCs w:val="22"/>
          <w:lang w:val="en-US" w:eastAsia="zh-CN"/>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eastAsia="zh-CN"/>
        </w:rPr>
        <w:t>7</w:t>
      </w:r>
      <w:r w:rsidRPr="00D25072">
        <w:rPr>
          <w:rFonts w:ascii="Arial" w:hAnsi="Arial" w:cs="Arial"/>
          <w:sz w:val="22"/>
          <w:szCs w:val="22"/>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25072" w:rsidRPr="00D25072" w:rsidRDefault="00D25072" w:rsidP="00D25072">
      <w:pPr>
        <w:suppressAutoHyphens w:val="0"/>
        <w:jc w:val="both"/>
        <w:rPr>
          <w:rFonts w:ascii="Arial" w:hAnsi="Arial" w:cs="Arial"/>
          <w:sz w:val="22"/>
          <w:szCs w:val="22"/>
          <w:lang w:val="en-US" w:eastAsia="zh-CN"/>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 xml:space="preserve">8. Ако се у држави у којој понуђач има седиште не издају докази из члана 77. </w:t>
      </w:r>
      <w:r w:rsidRPr="00D25072">
        <w:rPr>
          <w:rFonts w:ascii="Arial" w:hAnsi="Arial" w:cs="Arial"/>
          <w:sz w:val="22"/>
          <w:szCs w:val="22"/>
          <w:lang w:eastAsia="zh-CN"/>
        </w:rPr>
        <w:t xml:space="preserve">став 1. </w:t>
      </w:r>
      <w:r w:rsidRPr="00D25072">
        <w:rPr>
          <w:rFonts w:ascii="Arial"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25072" w:rsidRPr="00D25072" w:rsidRDefault="00D25072" w:rsidP="00D25072">
      <w:pPr>
        <w:suppressAutoHyphens w:val="0"/>
        <w:jc w:val="both"/>
        <w:rPr>
          <w:rFonts w:ascii="Arial" w:hAnsi="Arial" w:cs="Arial"/>
          <w:sz w:val="22"/>
          <w:szCs w:val="22"/>
          <w:lang w:val="en-US" w:eastAsia="zh-CN"/>
        </w:rPr>
      </w:pPr>
    </w:p>
    <w:p w:rsidR="00D25072" w:rsidRPr="00D25072" w:rsidRDefault="00D25072" w:rsidP="00D25072">
      <w:pPr>
        <w:suppressAutoHyphens w:val="0"/>
        <w:jc w:val="both"/>
        <w:rPr>
          <w:rFonts w:ascii="Arial" w:hAnsi="Arial" w:cs="Arial"/>
          <w:sz w:val="22"/>
          <w:szCs w:val="22"/>
          <w:lang w:val="en-US" w:eastAsia="zh-CN"/>
        </w:rPr>
      </w:pPr>
      <w:r w:rsidRPr="00D25072">
        <w:rPr>
          <w:rFonts w:ascii="Arial" w:hAnsi="Arial" w:cs="Arial"/>
          <w:sz w:val="22"/>
          <w:szCs w:val="22"/>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6690C" w:rsidRPr="00295D8C" w:rsidRDefault="00C6690C" w:rsidP="00DF23B4">
      <w:pPr>
        <w:rPr>
          <w:rFonts w:ascii="Arial" w:hAnsi="Arial" w:cs="Arial"/>
          <w:sz w:val="22"/>
          <w:szCs w:val="22"/>
          <w:lang w:eastAsia="en-US"/>
        </w:rPr>
      </w:pPr>
    </w:p>
    <w:sectPr w:rsidR="00C6690C" w:rsidRPr="00295D8C"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275" w:rsidRDefault="00695275" w:rsidP="00F717AF">
      <w:r>
        <w:separator/>
      </w:r>
    </w:p>
  </w:endnote>
  <w:endnote w:type="continuationSeparator" w:id="0">
    <w:p w:rsidR="00695275" w:rsidRDefault="0069527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5403F3" w:rsidRDefault="00C6690C"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5F1F31">
      <w:rPr>
        <w:i/>
        <w:sz w:val="20"/>
        <w:lang w:val="sr-Cyrl-RS"/>
      </w:rPr>
      <w:t>3000/0971/2018(69/2018)</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A1E65">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A1E65">
      <w:rPr>
        <w:i/>
        <w:noProof/>
      </w:rPr>
      <w:t>8</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275" w:rsidRDefault="00695275" w:rsidP="00F717AF">
      <w:r>
        <w:separator/>
      </w:r>
    </w:p>
  </w:footnote>
  <w:footnote w:type="continuationSeparator" w:id="0">
    <w:p w:rsidR="00695275" w:rsidRDefault="0069527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695275"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A1E65">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A1E65">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D4A9F8A"/>
    <w:lvl w:ilvl="0" w:tplc="F18047C2">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22953BB"/>
    <w:multiLevelType w:val="hybridMultilevel"/>
    <w:tmpl w:val="27600C16"/>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D44630"/>
    <w:multiLevelType w:val="hybridMultilevel"/>
    <w:tmpl w:val="51849B74"/>
    <w:lvl w:ilvl="0" w:tplc="37F87934">
      <w:start w:val="3"/>
      <w:numFmt w:val="bullet"/>
      <w:lvlText w:val="-"/>
      <w:lvlJc w:val="left"/>
      <w:pPr>
        <w:ind w:left="419" w:hanging="360"/>
      </w:pPr>
      <w:rPr>
        <w:rFonts w:ascii="Arial" w:eastAsia="Times New Roman" w:hAnsi="Arial" w:cs="Arial"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1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8"/>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6"/>
  </w:num>
  <w:num w:numId="8">
    <w:abstractNumId w:val="9"/>
  </w:num>
  <w:num w:numId="9">
    <w:abstractNumId w:val="1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842DE"/>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40429"/>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ECB"/>
    <w:rsid w:val="005E757E"/>
    <w:rsid w:val="005F1F31"/>
    <w:rsid w:val="005F2920"/>
    <w:rsid w:val="005F34DD"/>
    <w:rsid w:val="005F55F8"/>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95275"/>
    <w:rsid w:val="006A1E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4A9"/>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6537"/>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A5861"/>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25072"/>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1997</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30</cp:revision>
  <cp:lastPrinted>2018-03-08T13:04:00Z</cp:lastPrinted>
  <dcterms:created xsi:type="dcterms:W3CDTF">2015-07-01T14:16:00Z</dcterms:created>
  <dcterms:modified xsi:type="dcterms:W3CDTF">2018-03-09T08:44:00Z</dcterms:modified>
</cp:coreProperties>
</file>