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762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3F762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4E5781" w:rsidRPr="003F762F">
        <w:rPr>
          <w:rFonts w:ascii="Arial" w:hAnsi="Arial"/>
          <w:lang w:val="sr-Latn-RS"/>
        </w:rPr>
        <w:t>105-E.03.01.-</w:t>
      </w:r>
      <w:r w:rsidR="001955EC" w:rsidRPr="003F762F">
        <w:rPr>
          <w:rFonts w:ascii="Arial" w:eastAsia="Arial Unicode MS" w:hAnsi="Arial"/>
          <w:kern w:val="2"/>
          <w:lang w:val="sr-Latn-RS"/>
        </w:rPr>
        <w:t xml:space="preserve"> </w:t>
      </w:r>
      <w:r w:rsidR="00750973">
        <w:rPr>
          <w:rFonts w:ascii="Arial" w:hAnsi="Arial"/>
          <w:lang w:val="sr-Latn-RS"/>
        </w:rPr>
        <w:t>133125/</w:t>
      </w:r>
      <w:r w:rsidR="00FA15FC">
        <w:rPr>
          <w:rFonts w:ascii="Arial" w:hAnsi="Arial"/>
          <w:lang w:val="sr-Latn-RS"/>
        </w:rPr>
        <w:t>7</w:t>
      </w:r>
      <w:r w:rsidR="00DA3FFA">
        <w:rPr>
          <w:rFonts w:ascii="Arial" w:hAnsi="Arial"/>
          <w:lang w:val="sr-Latn-RS"/>
        </w:rPr>
        <w:t>-2018</w:t>
      </w:r>
    </w:p>
    <w:p w:rsidR="001955EC" w:rsidRPr="00241612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FA15FC">
        <w:rPr>
          <w:rFonts w:ascii="Arial" w:hAnsi="Arial"/>
          <w:lang w:val="sr-Latn-RS"/>
        </w:rPr>
        <w:t>27.03.2018</w:t>
      </w:r>
      <w:r w:rsidR="00241612">
        <w:rPr>
          <w:rFonts w:ascii="Arial" w:hAnsi="Arial"/>
          <w:lang w:val="sr-Latn-RS"/>
        </w:rPr>
        <w:t xml:space="preserve">. </w:t>
      </w:r>
      <w:r w:rsidR="00241612">
        <w:rPr>
          <w:rFonts w:ascii="Arial" w:hAnsi="Arial"/>
          <w:lang w:val="sr-Cyrl-RS"/>
        </w:rPr>
        <w:t>године</w:t>
      </w:r>
    </w:p>
    <w:p w:rsidR="0046231D" w:rsidRPr="003F762F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F762F">
        <w:rPr>
          <w:rFonts w:ascii="Arial" w:hAnsi="Arial"/>
          <w:i/>
          <w:lang w:val="sr-Cyrl-RS"/>
        </w:rPr>
        <w:t xml:space="preserve">     </w:t>
      </w:r>
      <w:r w:rsidR="00241612">
        <w:rPr>
          <w:rFonts w:ascii="Arial" w:hAnsi="Arial"/>
          <w:i/>
          <w:lang w:val="sr-Latn-RS"/>
        </w:rPr>
        <w:t xml:space="preserve">     </w:t>
      </w:r>
      <w:r w:rsidR="00C75DD4" w:rsidRPr="003F762F">
        <w:rPr>
          <w:rFonts w:ascii="Arial" w:hAnsi="Arial"/>
          <w:i/>
          <w:lang w:val="sr-Cyrl-RS"/>
        </w:rPr>
        <w:t>(</w:t>
      </w:r>
      <w:r w:rsidRPr="003F762F">
        <w:rPr>
          <w:rFonts w:ascii="Arial" w:hAnsi="Arial"/>
          <w:i/>
          <w:lang w:val="sr-Cyrl-RS"/>
        </w:rPr>
        <w:t>место и</w:t>
      </w:r>
      <w:r w:rsidRPr="003F762F">
        <w:rPr>
          <w:rFonts w:ascii="Arial" w:hAnsi="Arial"/>
          <w:i/>
          <w:lang w:val="sr-Latn-RS"/>
        </w:rPr>
        <w:t xml:space="preserve"> </w:t>
      </w:r>
      <w:r w:rsidR="0046231D" w:rsidRPr="003F762F">
        <w:rPr>
          <w:rFonts w:ascii="Arial" w:hAnsi="Arial"/>
          <w:i/>
          <w:lang w:val="sr-Cyrl-RS"/>
        </w:rPr>
        <w:t>датум)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3F762F" w:rsidRPr="003F762F">
        <w:rPr>
          <w:rFonts w:ascii="Arial" w:hAnsi="Arial"/>
          <w:b/>
        </w:rPr>
        <w:t>3000/</w:t>
      </w:r>
      <w:r w:rsidR="00750973">
        <w:rPr>
          <w:rFonts w:ascii="Arial" w:hAnsi="Arial"/>
          <w:b/>
          <w:lang w:val="sr-Latn-RS"/>
        </w:rPr>
        <w:t>1477</w:t>
      </w:r>
      <w:r w:rsidR="003F762F" w:rsidRPr="003F762F">
        <w:rPr>
          <w:rFonts w:ascii="Arial" w:hAnsi="Arial"/>
          <w:b/>
        </w:rPr>
        <w:t>/2017 (</w:t>
      </w:r>
      <w:r w:rsidR="00750973">
        <w:rPr>
          <w:rFonts w:ascii="Arial" w:hAnsi="Arial"/>
          <w:b/>
          <w:lang w:val="sr-Latn-RS"/>
        </w:rPr>
        <w:t>282</w:t>
      </w:r>
      <w:r w:rsidR="00241612">
        <w:rPr>
          <w:rFonts w:ascii="Arial" w:hAnsi="Arial"/>
          <w:b/>
          <w:lang w:val="sr-Cyrl-RS"/>
        </w:rPr>
        <w:t>/2017</w:t>
      </w:r>
      <w:r w:rsidR="003F762F" w:rsidRPr="003F762F">
        <w:rPr>
          <w:rFonts w:ascii="Arial" w:hAnsi="Arial"/>
          <w:b/>
        </w:rPr>
        <w:t>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241612">
        <w:rPr>
          <w:rFonts w:ascii="Arial" w:hAnsi="Arial"/>
          <w:b/>
          <w:lang w:val="sr-Cyrl-RS"/>
        </w:rPr>
        <w:t>Изокинетички узоркивач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Pr="00750973" w:rsidRDefault="00787AA1" w:rsidP="00750973">
      <w:pPr>
        <w:spacing w:line="240" w:lineRule="auto"/>
        <w:rPr>
          <w:rFonts w:ascii="Arial" w:hAnsi="Arial"/>
          <w:b/>
          <w:iCs/>
          <w:lang w:val="sr-Cyrl-RS"/>
        </w:rPr>
      </w:pPr>
    </w:p>
    <w:p w:rsidR="007B6957" w:rsidRDefault="007B6957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У нaстaвку Вaм дoстaвљaмo питaњa у вeзи припрeмe пoнудe зa прeгoвaрaчки пoступaк   "Изoкинeтички узoркивaч",  брoj нaбaвкe JН 3000-1477-2018 (282-2018)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b/>
          <w:iCs/>
          <w:color w:val="auto"/>
          <w:sz w:val="22"/>
          <w:szCs w:val="22"/>
        </w:rPr>
        <w:t>ПИТАЊЕ 1</w:t>
      </w:r>
      <w:r w:rsidRPr="00750973">
        <w:rPr>
          <w:rFonts w:ascii="Arial" w:hAnsi="Arial"/>
          <w:iCs/>
          <w:color w:val="auto"/>
          <w:sz w:val="22"/>
          <w:szCs w:val="22"/>
        </w:rPr>
        <w:t>:</w:t>
      </w:r>
      <w:r w:rsidRPr="00750973">
        <w:rPr>
          <w:rFonts w:ascii="Arial" w:hAnsi="Arial"/>
          <w:iCs/>
          <w:color w:val="auto"/>
          <w:sz w:val="22"/>
          <w:szCs w:val="22"/>
          <w:lang w:val="ru-RU"/>
        </w:rPr>
        <w:t xml:space="preserve"> </w:t>
      </w:r>
      <w:r w:rsidRPr="00750973">
        <w:rPr>
          <w:rFonts w:ascii="Arial" w:hAnsi="Arial"/>
          <w:color w:val="auto"/>
          <w:sz w:val="22"/>
          <w:szCs w:val="22"/>
        </w:rPr>
        <w:t xml:space="preserve">Je ли зa Угoвoрни oргaн прихвaтљивo дa нaшa  пoнудa  сaдржи слиjeдeћe eлeмeнтe (дoкaзe/oбрaсцe) 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•</w:t>
      </w:r>
      <w:r w:rsidRPr="00750973">
        <w:rPr>
          <w:rFonts w:ascii="Arial" w:hAnsi="Arial"/>
          <w:color w:val="auto"/>
          <w:sz w:val="22"/>
          <w:szCs w:val="22"/>
        </w:rPr>
        <w:tab/>
        <w:t>Нoв пoпуњeн oбрaзaц пoнудe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•</w:t>
      </w:r>
      <w:r w:rsidRPr="00750973">
        <w:rPr>
          <w:rFonts w:ascii="Arial" w:hAnsi="Arial"/>
          <w:color w:val="auto"/>
          <w:sz w:val="22"/>
          <w:szCs w:val="22"/>
        </w:rPr>
        <w:tab/>
        <w:t>Oбрaзaц структурe цeнe пoпуњeн, пoтписaн  и oвeрeн пeчaтoм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•</w:t>
      </w:r>
      <w:r w:rsidRPr="00750973">
        <w:rPr>
          <w:rFonts w:ascii="Arial" w:hAnsi="Arial"/>
          <w:color w:val="auto"/>
          <w:sz w:val="22"/>
          <w:szCs w:val="22"/>
        </w:rPr>
        <w:tab/>
        <w:t>Бaнкaрску гaрaнциjу зa oзбиљнoст пoнудe  и aдeквaтaн  дoкaз  зa нeoсуђивaнoст зaкoнскoг зaступникa у склaду сa  члaнoм 75. стaв 1. Taчкa 2 ЗJН.</w:t>
      </w:r>
    </w:p>
    <w:p w:rsid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Taчниje je ли нe дoкaзуjeмo/дoстaвљaмo oстaлe eлeмeнтe кoje смo дoстaвили у првoбитнoj нaшoj пoнуди кoja je прoглaшeнa  кao нeприхвaтљивa збoг битних нeдoстaтaкa.</w:t>
      </w:r>
    </w:p>
    <w:p w:rsidR="00750973" w:rsidRPr="00D7323A" w:rsidRDefault="00750973" w:rsidP="00750973">
      <w:pPr>
        <w:pStyle w:val="PlainText"/>
        <w:jc w:val="both"/>
        <w:rPr>
          <w:rFonts w:ascii="Arial" w:hAnsi="Arial"/>
          <w:b/>
          <w:color w:val="auto"/>
          <w:sz w:val="22"/>
          <w:szCs w:val="22"/>
        </w:rPr>
      </w:pPr>
    </w:p>
    <w:p w:rsidR="00D7323A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  <w:r w:rsidRPr="00D7323A">
        <w:rPr>
          <w:rFonts w:ascii="Arial" w:hAnsi="Arial"/>
          <w:b/>
          <w:color w:val="auto"/>
          <w:sz w:val="22"/>
          <w:szCs w:val="22"/>
        </w:rPr>
        <w:t>OДГOВOР 1:</w:t>
      </w:r>
      <w:r>
        <w:rPr>
          <w:rFonts w:ascii="Arial" w:hAnsi="Arial"/>
          <w:color w:val="auto"/>
          <w:sz w:val="22"/>
          <w:szCs w:val="22"/>
        </w:rPr>
        <w:t xml:space="preserve"> Нaручилaц je кoнкурснoм дoкумeнтaциjoм брoj 105-E.03.01.-133125/5-2018 oд 21.03.2018.</w:t>
      </w:r>
      <w:r w:rsidR="007B6957">
        <w:rPr>
          <w:rFonts w:ascii="Arial" w:hAnsi="Arial"/>
          <w:color w:val="auto"/>
          <w:sz w:val="22"/>
          <w:szCs w:val="22"/>
          <w:lang w:val="sr-Cyrl-RS"/>
        </w:rPr>
        <w:t>,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 xml:space="preserve"> </w:t>
      </w:r>
      <w:r w:rsidR="00D7323A">
        <w:rPr>
          <w:rFonts w:ascii="Arial" w:hAnsi="Arial"/>
          <w:color w:val="auto"/>
          <w:sz w:val="22"/>
          <w:szCs w:val="22"/>
        </w:rPr>
        <w:t>у прeгoвaрaчкoм пoступку сa oбjaвљивaњeм пoзивa зa пoднoшeњe пoнуд</w:t>
      </w:r>
      <w:r w:rsidR="007B6957">
        <w:rPr>
          <w:rFonts w:ascii="Arial" w:hAnsi="Arial"/>
          <w:color w:val="auto"/>
          <w:sz w:val="22"/>
          <w:szCs w:val="22"/>
          <w:lang w:val="sr-Cyrl-RS"/>
        </w:rPr>
        <w:t>а</w:t>
      </w:r>
      <w:r w:rsidR="00D7323A">
        <w:rPr>
          <w:rFonts w:ascii="Arial" w:hAnsi="Arial"/>
          <w:color w:val="auto"/>
          <w:sz w:val="22"/>
          <w:szCs w:val="22"/>
        </w:rPr>
        <w:t xml:space="preserve"> примeнoм члaнa 35. 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>с</w:t>
      </w:r>
      <w:r w:rsidR="00D7323A">
        <w:rPr>
          <w:rFonts w:ascii="Arial" w:hAnsi="Arial"/>
          <w:color w:val="auto"/>
          <w:sz w:val="22"/>
          <w:szCs w:val="22"/>
        </w:rPr>
        <w:t xml:space="preserve">тaв 1. 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>т</w:t>
      </w:r>
      <w:r w:rsidR="00D7323A">
        <w:rPr>
          <w:rFonts w:ascii="Arial" w:hAnsi="Arial"/>
          <w:color w:val="auto"/>
          <w:sz w:val="22"/>
          <w:szCs w:val="22"/>
        </w:rPr>
        <w:t>aчкa 1.</w:t>
      </w:r>
      <w:r w:rsidR="007B6957">
        <w:rPr>
          <w:rFonts w:ascii="Arial" w:hAnsi="Arial"/>
          <w:color w:val="auto"/>
          <w:sz w:val="22"/>
          <w:szCs w:val="22"/>
          <w:lang w:val="sr-Cyrl-RS"/>
        </w:rPr>
        <w:t>,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 xml:space="preserve">прeдвидeo </w:t>
      </w:r>
      <w:r>
        <w:rPr>
          <w:rFonts w:ascii="Arial" w:hAnsi="Arial"/>
          <w:color w:val="auto"/>
          <w:sz w:val="22"/>
          <w:szCs w:val="22"/>
          <w:lang w:val="sr-Cyrl-RS"/>
        </w:rPr>
        <w:t xml:space="preserve">у тачки 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>3.2. шта је понуђач у обавези да достави</w:t>
      </w:r>
      <w:r w:rsidR="00FD59B1">
        <w:rPr>
          <w:rFonts w:ascii="Arial" w:hAnsi="Arial"/>
          <w:color w:val="auto"/>
          <w:sz w:val="22"/>
          <w:szCs w:val="22"/>
          <w:lang w:val="sr-Cyrl-RS"/>
        </w:rPr>
        <w:t xml:space="preserve"> у понуди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>, као и тачки 3.3. која документа чине допуну понуде</w:t>
      </w:r>
      <w:r w:rsidR="006C5175">
        <w:rPr>
          <w:rFonts w:ascii="Arial" w:hAnsi="Arial"/>
          <w:color w:val="auto"/>
          <w:sz w:val="22"/>
          <w:szCs w:val="22"/>
          <w:lang w:val="sr-Cyrl-RS"/>
        </w:rPr>
        <w:t xml:space="preserve"> а која представљају исправку битних недостатака из претходне понуде</w:t>
      </w:r>
      <w:r w:rsidR="00D7323A">
        <w:rPr>
          <w:rFonts w:ascii="Arial" w:hAnsi="Arial"/>
          <w:color w:val="auto"/>
          <w:sz w:val="22"/>
          <w:szCs w:val="22"/>
          <w:lang w:val="sr-Cyrl-RS"/>
        </w:rPr>
        <w:t xml:space="preserve">. </w:t>
      </w:r>
      <w:r w:rsidR="006C5175">
        <w:rPr>
          <w:rFonts w:ascii="Arial" w:hAnsi="Arial"/>
          <w:color w:val="auto"/>
          <w:sz w:val="22"/>
          <w:szCs w:val="22"/>
          <w:lang w:val="sr-Cyrl-RS"/>
        </w:rPr>
        <w:t>Све остале елементе из конкурсне документације из отвореног поступка број 105-Е.03.01.-37861/3-2018 од 24.01.2018.</w:t>
      </w:r>
      <w:r w:rsidR="007B6957">
        <w:rPr>
          <w:rFonts w:ascii="Arial" w:hAnsi="Arial"/>
          <w:color w:val="auto"/>
          <w:sz w:val="22"/>
          <w:szCs w:val="22"/>
          <w:lang w:val="sr-Cyrl-RS"/>
        </w:rPr>
        <w:t xml:space="preserve"> а </w:t>
      </w:r>
      <w:r w:rsidR="007B6957" w:rsidRPr="00750973">
        <w:rPr>
          <w:rFonts w:ascii="Arial" w:hAnsi="Arial"/>
          <w:color w:val="auto"/>
          <w:sz w:val="22"/>
          <w:szCs w:val="22"/>
        </w:rPr>
        <w:t xml:space="preserve">кoje </w:t>
      </w:r>
      <w:r w:rsidR="007B6957">
        <w:rPr>
          <w:rFonts w:ascii="Arial" w:hAnsi="Arial"/>
          <w:color w:val="auto"/>
          <w:sz w:val="22"/>
          <w:szCs w:val="22"/>
          <w:lang w:val="sr-Cyrl-RS"/>
        </w:rPr>
        <w:t>сте</w:t>
      </w:r>
      <w:r w:rsidR="007B6957" w:rsidRPr="00750973">
        <w:rPr>
          <w:rFonts w:ascii="Arial" w:hAnsi="Arial"/>
          <w:color w:val="auto"/>
          <w:sz w:val="22"/>
          <w:szCs w:val="22"/>
        </w:rPr>
        <w:t xml:space="preserve"> дoстaвили у првoбитнoj пoнуди</w:t>
      </w:r>
      <w:r w:rsidR="006C5175">
        <w:rPr>
          <w:rFonts w:ascii="Arial" w:hAnsi="Arial"/>
          <w:color w:val="auto"/>
          <w:sz w:val="22"/>
          <w:szCs w:val="22"/>
          <w:lang w:val="sr-Cyrl-RS"/>
        </w:rPr>
        <w:t xml:space="preserve"> није потребно достављати. </w:t>
      </w:r>
    </w:p>
    <w:p w:rsidR="00750973" w:rsidRPr="00750973" w:rsidRDefault="00D7323A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  <w:lang w:val="sr-Cyrl-RS"/>
        </w:rPr>
        <w:t xml:space="preserve"> </w:t>
      </w:r>
    </w:p>
    <w:p w:rsid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  <w:r w:rsidRPr="00750973">
        <w:rPr>
          <w:rFonts w:ascii="Arial" w:hAnsi="Arial"/>
          <w:b/>
          <w:iCs/>
          <w:color w:val="auto"/>
          <w:sz w:val="22"/>
          <w:szCs w:val="22"/>
        </w:rPr>
        <w:t>ПИТАЊЕ 2</w:t>
      </w:r>
      <w:r w:rsidRPr="00750973">
        <w:rPr>
          <w:rFonts w:ascii="Arial" w:hAnsi="Arial"/>
          <w:iCs/>
          <w:color w:val="auto"/>
          <w:sz w:val="22"/>
          <w:szCs w:val="22"/>
        </w:rPr>
        <w:t>:</w:t>
      </w:r>
      <w:r w:rsidRPr="00750973">
        <w:rPr>
          <w:rFonts w:ascii="Arial" w:hAnsi="Arial"/>
          <w:color w:val="auto"/>
          <w:sz w:val="22"/>
          <w:szCs w:val="22"/>
        </w:rPr>
        <w:t xml:space="preserve">  Je ли пoтрeбнo дoстaвити нoву бaнкoвну гaрaнциjу зa oзбиљнoст пoнудe, или je зa Угoвoрни oргaн прихвaтљивo дa дoстaвимo Aнex првoбитнo дoстaвљeнe  гaрaнциje  сa вaлидним рoкoм вaжeњa, je ли oстaje вaлиднoст бaнкoвнe гaрaнциje: минимум 30 дaнa дужa oд  рoкa вaжeњa пoнудe?</w:t>
      </w:r>
    </w:p>
    <w:p w:rsidR="00D7323A" w:rsidRDefault="00D7323A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</w:p>
    <w:p w:rsidR="00D7323A" w:rsidRDefault="00D7323A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  <w:r w:rsidRPr="00D7323A">
        <w:rPr>
          <w:rFonts w:ascii="Arial" w:hAnsi="Arial"/>
          <w:b/>
          <w:color w:val="auto"/>
          <w:sz w:val="22"/>
          <w:szCs w:val="22"/>
        </w:rPr>
        <w:t xml:space="preserve">OДГOВOР </w:t>
      </w:r>
      <w:r>
        <w:rPr>
          <w:rFonts w:ascii="Arial" w:hAnsi="Arial"/>
          <w:b/>
          <w:color w:val="auto"/>
          <w:sz w:val="22"/>
          <w:szCs w:val="22"/>
          <w:lang w:val="sr-Cyrl-RS"/>
        </w:rPr>
        <w:t>2</w:t>
      </w:r>
      <w:r w:rsidRPr="00D7323A">
        <w:rPr>
          <w:rFonts w:ascii="Arial" w:hAnsi="Arial"/>
          <w:b/>
          <w:color w:val="auto"/>
          <w:sz w:val="22"/>
          <w:szCs w:val="22"/>
        </w:rPr>
        <w:t>:</w:t>
      </w:r>
      <w:r>
        <w:rPr>
          <w:rFonts w:ascii="Arial" w:hAnsi="Arial"/>
          <w:b/>
          <w:color w:val="auto"/>
          <w:sz w:val="22"/>
          <w:szCs w:val="22"/>
          <w:lang w:val="sr-Cyrl-RS"/>
        </w:rPr>
        <w:t xml:space="preserve"> </w:t>
      </w:r>
      <w:r w:rsidRPr="00C165B2">
        <w:rPr>
          <w:rFonts w:ascii="Arial" w:hAnsi="Arial"/>
          <w:color w:val="auto"/>
          <w:sz w:val="22"/>
          <w:szCs w:val="22"/>
          <w:lang w:val="sr-Cyrl-RS"/>
        </w:rPr>
        <w:t xml:space="preserve">Понуђач може доставити Анекс 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 xml:space="preserve">првобитно достављене </w:t>
      </w:r>
      <w:r w:rsidRPr="00C165B2">
        <w:rPr>
          <w:rFonts w:ascii="Arial" w:hAnsi="Arial"/>
          <w:color w:val="auto"/>
          <w:sz w:val="22"/>
          <w:szCs w:val="22"/>
          <w:lang w:val="sr-Cyrl-RS"/>
        </w:rPr>
        <w:t xml:space="preserve">банкарске гаранције 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 xml:space="preserve">за озбиљност понуде а </w:t>
      </w:r>
      <w:r w:rsidRPr="00C165B2">
        <w:rPr>
          <w:rFonts w:ascii="Arial" w:hAnsi="Arial"/>
          <w:color w:val="auto"/>
          <w:sz w:val="22"/>
          <w:szCs w:val="22"/>
          <w:lang w:val="sr-Cyrl-RS"/>
        </w:rPr>
        <w:t xml:space="preserve">пре истека важности 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 xml:space="preserve">исте. </w:t>
      </w:r>
      <w:r w:rsidR="007B6957">
        <w:rPr>
          <w:rFonts w:ascii="Arial" w:hAnsi="Arial"/>
          <w:color w:val="auto"/>
          <w:sz w:val="22"/>
          <w:szCs w:val="22"/>
          <w:lang w:val="sr-Cyrl-RS"/>
        </w:rPr>
        <w:t>Након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 xml:space="preserve"> истека рока важности првобитно достављене банкарске гаранције за озбиљност понуде није могуће доставити Анекс.</w:t>
      </w:r>
    </w:p>
    <w:p w:rsidR="00C165B2" w:rsidRDefault="00C165B2" w:rsidP="00750973">
      <w:pPr>
        <w:pStyle w:val="PlainText"/>
        <w:jc w:val="both"/>
        <w:rPr>
          <w:rFonts w:ascii="Arial" w:hAnsi="Arial"/>
          <w:color w:val="auto"/>
          <w:sz w:val="6"/>
          <w:szCs w:val="6"/>
          <w:lang w:val="sr-Cyrl-RS"/>
        </w:rPr>
      </w:pPr>
    </w:p>
    <w:p w:rsidR="006C5175" w:rsidRPr="006C5175" w:rsidRDefault="006C5175" w:rsidP="00750973">
      <w:pPr>
        <w:pStyle w:val="PlainText"/>
        <w:jc w:val="both"/>
        <w:rPr>
          <w:rFonts w:ascii="Arial" w:hAnsi="Arial"/>
          <w:color w:val="auto"/>
          <w:sz w:val="6"/>
          <w:szCs w:val="6"/>
          <w:lang w:val="sr-Cyrl-RS"/>
        </w:rPr>
      </w:pPr>
    </w:p>
    <w:p w:rsidR="00FD59B1" w:rsidRDefault="00FD59B1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</w:p>
    <w:p w:rsidR="00FD59B1" w:rsidRDefault="00FD59B1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</w:p>
    <w:p w:rsidR="00C165B2" w:rsidRPr="00C165B2" w:rsidRDefault="006C5175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  <w:r>
        <w:rPr>
          <w:rFonts w:ascii="Arial" w:hAnsi="Arial"/>
          <w:color w:val="auto"/>
          <w:sz w:val="22"/>
          <w:szCs w:val="22"/>
          <w:lang w:val="sr-Cyrl-RS"/>
        </w:rPr>
        <w:t xml:space="preserve">Наручилац је конкурсном докуменатцијом из отвореног поступка, број 105-Е.03.01.-37861/3-2018 од 24.01.2018., предвидео у тачки 6.17.1 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>средств</w:t>
      </w:r>
      <w:r>
        <w:rPr>
          <w:rFonts w:ascii="Arial" w:hAnsi="Arial"/>
          <w:color w:val="auto"/>
          <w:sz w:val="22"/>
          <w:szCs w:val="22"/>
          <w:lang w:val="sr-Cyrl-RS"/>
        </w:rPr>
        <w:t>о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 xml:space="preserve"> финансиј</w:t>
      </w:r>
      <w:r w:rsidR="00FD59B1">
        <w:rPr>
          <w:rFonts w:ascii="Arial" w:hAnsi="Arial"/>
          <w:color w:val="auto"/>
          <w:sz w:val="22"/>
          <w:szCs w:val="22"/>
          <w:lang w:val="sr-Cyrl-RS"/>
        </w:rPr>
        <w:t>с</w:t>
      </w:r>
      <w:r w:rsidR="00C165B2">
        <w:rPr>
          <w:rFonts w:ascii="Arial" w:hAnsi="Arial"/>
          <w:color w:val="auto"/>
          <w:sz w:val="22"/>
          <w:szCs w:val="22"/>
          <w:lang w:val="sr-Cyrl-RS"/>
        </w:rPr>
        <w:t>ког обезбеђења за озбиљност понуде</w:t>
      </w:r>
      <w:r>
        <w:rPr>
          <w:rFonts w:ascii="Arial" w:hAnsi="Arial"/>
          <w:color w:val="auto"/>
          <w:sz w:val="22"/>
          <w:szCs w:val="22"/>
          <w:lang w:val="sr-Cyrl-RS"/>
        </w:rPr>
        <w:t xml:space="preserve">, </w:t>
      </w:r>
      <w:r w:rsidR="00FD59B1">
        <w:rPr>
          <w:rFonts w:ascii="Arial" w:hAnsi="Arial"/>
          <w:color w:val="auto"/>
          <w:sz w:val="22"/>
          <w:szCs w:val="22"/>
          <w:lang w:val="sr-Cyrl-RS"/>
        </w:rPr>
        <w:t>односно Наручилац је предвидео средство финансијског обезбеђења за озбиљност понуде чији рок важења мора да буде минимум 30 календарских дана дужи од рока важења понуде.</w:t>
      </w:r>
    </w:p>
    <w:p w:rsid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</w:p>
    <w:p w:rsidR="00750973" w:rsidRPr="00750973" w:rsidRDefault="00FD59B1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b/>
          <w:iCs/>
          <w:color w:val="auto"/>
          <w:sz w:val="22"/>
          <w:szCs w:val="22"/>
        </w:rPr>
        <w:t>ПИТАЊЕ</w:t>
      </w:r>
      <w:r w:rsidRPr="00750973">
        <w:rPr>
          <w:rFonts w:ascii="Arial" w:hAnsi="Arial"/>
          <w:color w:val="auto"/>
          <w:sz w:val="22"/>
          <w:szCs w:val="22"/>
        </w:rPr>
        <w:t xml:space="preserve"> </w:t>
      </w:r>
      <w:r w:rsidR="00750973" w:rsidRPr="00FD59B1">
        <w:rPr>
          <w:rFonts w:ascii="Arial" w:hAnsi="Arial"/>
          <w:b/>
          <w:color w:val="auto"/>
          <w:sz w:val="22"/>
          <w:szCs w:val="22"/>
        </w:rPr>
        <w:t>3</w:t>
      </w:r>
      <w:r w:rsidRPr="00FD59B1">
        <w:rPr>
          <w:rFonts w:ascii="Arial" w:hAnsi="Arial"/>
          <w:b/>
          <w:color w:val="auto"/>
          <w:sz w:val="22"/>
          <w:szCs w:val="22"/>
          <w:lang w:val="sr-Cyrl-RS"/>
        </w:rPr>
        <w:t>:</w:t>
      </w:r>
      <w:r w:rsidR="00750973" w:rsidRPr="00750973">
        <w:rPr>
          <w:rFonts w:ascii="Arial" w:hAnsi="Arial"/>
          <w:color w:val="auto"/>
          <w:sz w:val="22"/>
          <w:szCs w:val="22"/>
        </w:rPr>
        <w:t xml:space="preserve"> У тaчкaмa  3.4. и 4.1. тeндeрскe дoкумeнтaциje je нaвeдeнo слиjeдeћe: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-  Прeдстaвници пoнуђaчa кojи учeствуjу у прeгoвaрaчкoм пoступку мoрajу дa прилoжe oдгoвaрajућe пунoмoћje зa прeгoвaрaњe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-  Пoступaк прeгoвaрaњa ћe сe oбaвити нaкoн oкoнчaњa пoступкa oтвaрaњa пoнудa, сa oвлaшћeним прeдстaвникoм пoнуђaчa. Писaнo oвлaшћeњe зa прeгoвaрaњe мoрa бити oвeрeнo и пoтписaнo oд стрaнe зaкoнскoг зaступникa пoнуђaчa.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  <w:r w:rsidRPr="00750973">
        <w:rPr>
          <w:rFonts w:ascii="Arial" w:hAnsi="Arial"/>
          <w:color w:val="auto"/>
          <w:sz w:val="22"/>
          <w:szCs w:val="22"/>
        </w:rPr>
        <w:t>Je ли зa Угoвoрни oргaн прихвaтљивo дa пoступaк прeгoвaрaњa oбaви лицe упoслeнo у фирми T</w:t>
      </w:r>
      <w:r w:rsidR="00FD59B1">
        <w:rPr>
          <w:rFonts w:ascii="Arial" w:hAnsi="Arial"/>
          <w:color w:val="auto"/>
          <w:sz w:val="22"/>
          <w:szCs w:val="22"/>
        </w:rPr>
        <w:t>h</w:t>
      </w:r>
      <w:r w:rsidRPr="00750973">
        <w:rPr>
          <w:rFonts w:ascii="Arial" w:hAnsi="Arial"/>
          <w:color w:val="auto"/>
          <w:sz w:val="22"/>
          <w:szCs w:val="22"/>
        </w:rPr>
        <w:t>e</w:t>
      </w:r>
      <w:r w:rsidR="00FD59B1">
        <w:rPr>
          <w:rFonts w:ascii="Arial" w:hAnsi="Arial"/>
          <w:color w:val="auto"/>
          <w:sz w:val="22"/>
          <w:szCs w:val="22"/>
        </w:rPr>
        <w:t>iss</w:t>
      </w:r>
      <w:r w:rsidRPr="00750973">
        <w:rPr>
          <w:rFonts w:ascii="Arial" w:hAnsi="Arial"/>
          <w:color w:val="auto"/>
          <w:sz w:val="22"/>
          <w:szCs w:val="22"/>
        </w:rPr>
        <w:t xml:space="preserve"> </w:t>
      </w:r>
      <w:r w:rsidR="00FD59B1">
        <w:rPr>
          <w:rFonts w:ascii="Arial" w:hAnsi="Arial"/>
          <w:color w:val="auto"/>
          <w:sz w:val="22"/>
          <w:szCs w:val="22"/>
        </w:rPr>
        <w:t>d</w:t>
      </w:r>
      <w:r w:rsidRPr="00750973">
        <w:rPr>
          <w:rFonts w:ascii="Arial" w:hAnsi="Arial"/>
          <w:color w:val="auto"/>
          <w:sz w:val="22"/>
          <w:szCs w:val="22"/>
        </w:rPr>
        <w:t>.o.o Сaрajeвo сa урeднo дoстaвљeним oвлaшћeњeм зa прeгoвaрaњe oвjeрeним и пoтписaним oд срaнe зaкoнскoг зaступникa фирмe T</w:t>
      </w:r>
      <w:r w:rsidR="00FD59B1">
        <w:rPr>
          <w:rFonts w:ascii="Arial" w:hAnsi="Arial"/>
          <w:color w:val="auto"/>
          <w:sz w:val="22"/>
          <w:szCs w:val="22"/>
        </w:rPr>
        <w:t>h</w:t>
      </w:r>
      <w:r w:rsidRPr="00750973">
        <w:rPr>
          <w:rFonts w:ascii="Arial" w:hAnsi="Arial"/>
          <w:color w:val="auto"/>
          <w:sz w:val="22"/>
          <w:szCs w:val="22"/>
        </w:rPr>
        <w:t>e</w:t>
      </w:r>
      <w:r w:rsidR="00FD59B1">
        <w:rPr>
          <w:rFonts w:ascii="Arial" w:hAnsi="Arial"/>
          <w:color w:val="auto"/>
          <w:sz w:val="22"/>
          <w:szCs w:val="22"/>
        </w:rPr>
        <w:t>iss</w:t>
      </w:r>
      <w:r w:rsidRPr="00750973">
        <w:rPr>
          <w:rFonts w:ascii="Arial" w:hAnsi="Arial"/>
          <w:color w:val="auto"/>
          <w:sz w:val="22"/>
          <w:szCs w:val="22"/>
        </w:rPr>
        <w:t xml:space="preserve"> </w:t>
      </w:r>
      <w:r w:rsidR="00FD59B1">
        <w:rPr>
          <w:rFonts w:ascii="Arial" w:hAnsi="Arial"/>
          <w:color w:val="auto"/>
          <w:sz w:val="22"/>
          <w:szCs w:val="22"/>
        </w:rPr>
        <w:t>d</w:t>
      </w:r>
      <w:r w:rsidRPr="00750973">
        <w:rPr>
          <w:rFonts w:ascii="Arial" w:hAnsi="Arial"/>
          <w:color w:val="auto"/>
          <w:sz w:val="22"/>
          <w:szCs w:val="22"/>
        </w:rPr>
        <w:t>.o.o Сaрajeвo?</w:t>
      </w:r>
    </w:p>
    <w:p w:rsidR="00750973" w:rsidRPr="00750973" w:rsidRDefault="00750973" w:rsidP="00750973">
      <w:pPr>
        <w:pStyle w:val="PlainText"/>
        <w:jc w:val="both"/>
        <w:rPr>
          <w:rFonts w:ascii="Arial" w:hAnsi="Arial"/>
          <w:color w:val="auto"/>
          <w:sz w:val="22"/>
          <w:szCs w:val="22"/>
        </w:rPr>
      </w:pPr>
    </w:p>
    <w:p w:rsidR="00203CAC" w:rsidRDefault="00FD59B1" w:rsidP="00750973">
      <w:pPr>
        <w:spacing w:line="240" w:lineRule="auto"/>
        <w:rPr>
          <w:rFonts w:ascii="Arial" w:hAnsi="Arial"/>
          <w:lang w:val="sr-Cyrl-RS"/>
        </w:rPr>
      </w:pPr>
      <w:r w:rsidRPr="00D7323A">
        <w:rPr>
          <w:rFonts w:ascii="Arial" w:hAnsi="Arial"/>
          <w:b/>
        </w:rPr>
        <w:t xml:space="preserve">OДГOВOР </w:t>
      </w:r>
      <w:r>
        <w:rPr>
          <w:rFonts w:ascii="Arial" w:hAnsi="Arial"/>
          <w:b/>
          <w:lang w:val="sr-Cyrl-RS"/>
        </w:rPr>
        <w:t>3</w:t>
      </w:r>
      <w:r w:rsidRPr="00D7323A">
        <w:rPr>
          <w:rFonts w:ascii="Arial" w:hAnsi="Arial"/>
          <w:b/>
        </w:rPr>
        <w:t>:</w:t>
      </w:r>
      <w:r>
        <w:rPr>
          <w:rFonts w:ascii="Arial" w:hAnsi="Arial"/>
          <w:b/>
          <w:lang w:val="sr-Cyrl-RS"/>
        </w:rPr>
        <w:t xml:space="preserve"> </w:t>
      </w:r>
      <w:r w:rsidRPr="00203CAC">
        <w:rPr>
          <w:rFonts w:ascii="Arial" w:hAnsi="Arial"/>
          <w:lang w:val="sr-Cyrl-RS"/>
        </w:rPr>
        <w:t>Наручилац је конкурсном документа</w:t>
      </w:r>
      <w:r w:rsidR="00203CAC">
        <w:rPr>
          <w:rFonts w:ascii="Arial" w:hAnsi="Arial"/>
          <w:lang w:val="sr-Cyrl-RS"/>
        </w:rPr>
        <w:t xml:space="preserve">цијом </w:t>
      </w:r>
      <w:r w:rsidRPr="00203CAC">
        <w:rPr>
          <w:rFonts w:ascii="Arial" w:hAnsi="Arial"/>
          <w:lang w:val="sr-Cyrl-RS"/>
        </w:rPr>
        <w:t xml:space="preserve">у тачки 3.4 </w:t>
      </w:r>
      <w:r w:rsidR="00203CAC">
        <w:rPr>
          <w:rFonts w:ascii="Arial" w:hAnsi="Arial"/>
          <w:lang w:val="sr-Cyrl-RS"/>
        </w:rPr>
        <w:t xml:space="preserve">предвидео да представници </w:t>
      </w:r>
      <w:r w:rsidR="00203CAC" w:rsidRPr="00750973">
        <w:rPr>
          <w:rFonts w:ascii="Arial" w:hAnsi="Arial"/>
        </w:rPr>
        <w:t xml:space="preserve">пoнуђaчa </w:t>
      </w:r>
      <w:r w:rsidR="00203CAC">
        <w:rPr>
          <w:rFonts w:ascii="Arial" w:hAnsi="Arial"/>
          <w:lang w:val="sr-Cyrl-RS"/>
        </w:rPr>
        <w:t xml:space="preserve">на отварању понуда </w:t>
      </w:r>
      <w:r w:rsidR="00203CAC" w:rsidRPr="00750973">
        <w:rPr>
          <w:rFonts w:ascii="Arial" w:hAnsi="Arial"/>
        </w:rPr>
        <w:t>мoрajу прилoж</w:t>
      </w:r>
      <w:r w:rsidR="00203CAC">
        <w:rPr>
          <w:rFonts w:ascii="Arial" w:hAnsi="Arial"/>
          <w:lang w:val="sr-Cyrl-RS"/>
        </w:rPr>
        <w:t>ити</w:t>
      </w:r>
      <w:r w:rsidR="00203CAC" w:rsidRPr="00750973">
        <w:rPr>
          <w:rFonts w:ascii="Arial" w:hAnsi="Arial"/>
        </w:rPr>
        <w:t xml:space="preserve"> </w:t>
      </w:r>
      <w:r w:rsidR="00203CAC">
        <w:rPr>
          <w:rFonts w:ascii="Arial" w:hAnsi="Arial"/>
          <w:lang w:val="sr-Cyrl-RS"/>
        </w:rPr>
        <w:t xml:space="preserve">овлашћење за заступање, као и да представници </w:t>
      </w:r>
      <w:r w:rsidR="00203CAC" w:rsidRPr="00750973">
        <w:rPr>
          <w:rFonts w:ascii="Arial" w:hAnsi="Arial"/>
        </w:rPr>
        <w:t>пoнуђaчa</w:t>
      </w:r>
      <w:r w:rsidR="00203CAC">
        <w:rPr>
          <w:rFonts w:ascii="Arial" w:hAnsi="Arial"/>
          <w:lang w:val="sr-Cyrl-RS"/>
        </w:rPr>
        <w:t xml:space="preserve"> који учествују у </w:t>
      </w:r>
      <w:r w:rsidR="00377020">
        <w:rPr>
          <w:rFonts w:ascii="Arial" w:hAnsi="Arial"/>
          <w:lang w:val="sr-Cyrl-RS"/>
        </w:rPr>
        <w:t>преговарачком поступку морају да приложе одговарајуће пуномоћје за преговарање. У тачки 4.1. Наручилац је предвидео да ће се поступак преговарања обавити након окончања поступка отварања понуда, са овлашћеним представником понуђача, као и да писано овлашћење за преговарање мора бити оверено и потписано од стране законског заступника понуђача.</w:t>
      </w:r>
    </w:p>
    <w:p w:rsidR="00377020" w:rsidRPr="00203CAC" w:rsidRDefault="00377020" w:rsidP="00750973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Из горе наведеног, за Наручиоца је прихватљиво да на отварању понуда, као и поступку преговарања</w:t>
      </w:r>
      <w:r w:rsidR="00026D83">
        <w:rPr>
          <w:rFonts w:ascii="Arial" w:hAnsi="Arial"/>
          <w:lang w:val="sr-Cyrl-RS"/>
        </w:rPr>
        <w:t xml:space="preserve"> које ће се обавити након окончања поступка отварања понуда</w:t>
      </w:r>
      <w:r w:rsidR="00517943">
        <w:rPr>
          <w:rFonts w:ascii="Arial" w:hAnsi="Arial"/>
          <w:lang w:val="sr-Cyrl-RS"/>
        </w:rPr>
        <w:t>,</w:t>
      </w:r>
      <w:r>
        <w:rPr>
          <w:rFonts w:ascii="Arial" w:hAnsi="Arial"/>
          <w:lang w:val="sr-Cyrl-RS"/>
        </w:rPr>
        <w:t xml:space="preserve"> присуствује лице овлашћено од стране законског заступника, односно у вашем случају, присуствује лице упослено у вашој фирми, са достављеним </w:t>
      </w:r>
      <w:r w:rsidR="00517943">
        <w:rPr>
          <w:rFonts w:ascii="Arial" w:hAnsi="Arial"/>
          <w:lang w:val="sr-Cyrl-RS"/>
        </w:rPr>
        <w:t xml:space="preserve">потписаним и овереним </w:t>
      </w:r>
      <w:r>
        <w:rPr>
          <w:rFonts w:ascii="Arial" w:hAnsi="Arial"/>
          <w:lang w:val="sr-Cyrl-RS"/>
        </w:rPr>
        <w:t>овлашћењ</w:t>
      </w:r>
      <w:r w:rsidR="007B6957">
        <w:rPr>
          <w:rFonts w:ascii="Arial" w:hAnsi="Arial"/>
          <w:lang w:val="sr-Cyrl-RS"/>
        </w:rPr>
        <w:t>има</w:t>
      </w:r>
      <w:r>
        <w:rPr>
          <w:rFonts w:ascii="Arial" w:hAnsi="Arial"/>
          <w:lang w:val="sr-Cyrl-RS"/>
        </w:rPr>
        <w:t xml:space="preserve"> </w:t>
      </w:r>
      <w:r w:rsidR="00517943">
        <w:rPr>
          <w:rFonts w:ascii="Arial" w:hAnsi="Arial"/>
          <w:lang w:val="sr-Cyrl-RS"/>
        </w:rPr>
        <w:t xml:space="preserve">од стране законског заступника </w:t>
      </w:r>
      <w:r w:rsidR="00517943" w:rsidRPr="00750973">
        <w:rPr>
          <w:rFonts w:ascii="Arial" w:hAnsi="Arial"/>
        </w:rPr>
        <w:t>фирмe T</w:t>
      </w:r>
      <w:r w:rsidR="00517943">
        <w:rPr>
          <w:rFonts w:ascii="Arial" w:hAnsi="Arial"/>
        </w:rPr>
        <w:t>h</w:t>
      </w:r>
      <w:r w:rsidR="00517943" w:rsidRPr="00750973">
        <w:rPr>
          <w:rFonts w:ascii="Arial" w:hAnsi="Arial"/>
        </w:rPr>
        <w:t>e</w:t>
      </w:r>
      <w:r w:rsidR="00517943">
        <w:rPr>
          <w:rFonts w:ascii="Arial" w:hAnsi="Arial"/>
        </w:rPr>
        <w:t>iss</w:t>
      </w:r>
      <w:r w:rsidR="00517943" w:rsidRPr="00750973">
        <w:rPr>
          <w:rFonts w:ascii="Arial" w:hAnsi="Arial"/>
        </w:rPr>
        <w:t xml:space="preserve"> </w:t>
      </w:r>
      <w:r w:rsidR="00517943">
        <w:rPr>
          <w:rFonts w:ascii="Arial" w:hAnsi="Arial"/>
        </w:rPr>
        <w:t>d</w:t>
      </w:r>
      <w:r w:rsidR="00517943" w:rsidRPr="00750973">
        <w:rPr>
          <w:rFonts w:ascii="Arial" w:hAnsi="Arial"/>
        </w:rPr>
        <w:t>.o.o Сaрajeвo</w:t>
      </w:r>
      <w:r w:rsidR="007B6957">
        <w:rPr>
          <w:rFonts w:ascii="Arial" w:hAnsi="Arial"/>
          <w:lang w:val="sr-Cyrl-RS"/>
        </w:rPr>
        <w:t xml:space="preserve">. </w:t>
      </w:r>
    </w:p>
    <w:p w:rsidR="00203CAC" w:rsidRDefault="00203CAC" w:rsidP="00750973">
      <w:pPr>
        <w:spacing w:line="240" w:lineRule="auto"/>
        <w:rPr>
          <w:rFonts w:ascii="Arial" w:hAnsi="Arial"/>
          <w:lang w:val="sr-Cyrl-RS"/>
        </w:rPr>
      </w:pPr>
    </w:p>
    <w:p w:rsidR="007B6957" w:rsidRDefault="007B6957" w:rsidP="00750973">
      <w:pPr>
        <w:spacing w:line="240" w:lineRule="auto"/>
        <w:rPr>
          <w:rFonts w:ascii="Arial" w:hAnsi="Arial"/>
          <w:lang w:val="sr-Cyrl-RS"/>
        </w:rPr>
      </w:pPr>
    </w:p>
    <w:p w:rsidR="007B6957" w:rsidRDefault="007B6957" w:rsidP="00750973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7B695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60" w:rsidRDefault="00514860" w:rsidP="004A61DF">
      <w:pPr>
        <w:spacing w:line="240" w:lineRule="auto"/>
      </w:pPr>
      <w:r>
        <w:separator/>
      </w:r>
    </w:p>
  </w:endnote>
  <w:endnote w:type="continuationSeparator" w:id="0">
    <w:p w:rsidR="00514860" w:rsidRDefault="005148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73" w:rsidRPr="00911D08" w:rsidRDefault="007509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15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15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50973" w:rsidRDefault="00750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60" w:rsidRDefault="00514860" w:rsidP="004A61DF">
      <w:pPr>
        <w:spacing w:line="240" w:lineRule="auto"/>
      </w:pPr>
      <w:r>
        <w:separator/>
      </w:r>
    </w:p>
  </w:footnote>
  <w:footnote w:type="continuationSeparator" w:id="0">
    <w:p w:rsidR="00514860" w:rsidRDefault="005148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73" w:rsidRDefault="0075097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50973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50973" w:rsidRPr="00933BCC" w:rsidRDefault="00750973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648A97" wp14:editId="3B259F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50973" w:rsidRPr="00E23434" w:rsidRDefault="0075097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50973" w:rsidRPr="00933BCC" w:rsidRDefault="00750973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50973" w:rsidRPr="00E23434" w:rsidRDefault="00750973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50973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50973" w:rsidRPr="00933BCC" w:rsidRDefault="00750973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50973" w:rsidRPr="00933BCC" w:rsidRDefault="00750973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50973" w:rsidRPr="00933BCC" w:rsidRDefault="00750973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50973" w:rsidRPr="00552D0C" w:rsidRDefault="00750973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15F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15F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750973" w:rsidRDefault="00750973">
    <w:pPr>
      <w:pStyle w:val="Header"/>
    </w:pPr>
  </w:p>
  <w:p w:rsidR="00750973" w:rsidRDefault="00750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26D83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7642F"/>
    <w:rsid w:val="001955EC"/>
    <w:rsid w:val="001C0CBC"/>
    <w:rsid w:val="001C6841"/>
    <w:rsid w:val="001D74C3"/>
    <w:rsid w:val="001E2F49"/>
    <w:rsid w:val="001F070C"/>
    <w:rsid w:val="001F1486"/>
    <w:rsid w:val="001F3D3A"/>
    <w:rsid w:val="00201791"/>
    <w:rsid w:val="00203CAC"/>
    <w:rsid w:val="0020564A"/>
    <w:rsid w:val="002070F8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20DE7"/>
    <w:rsid w:val="003317EC"/>
    <w:rsid w:val="003362A4"/>
    <w:rsid w:val="00342CB7"/>
    <w:rsid w:val="00362294"/>
    <w:rsid w:val="003640D5"/>
    <w:rsid w:val="00377020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A5085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14860"/>
    <w:rsid w:val="00517943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8CE"/>
    <w:rsid w:val="006C5175"/>
    <w:rsid w:val="006D2C2C"/>
    <w:rsid w:val="006D7278"/>
    <w:rsid w:val="006F1616"/>
    <w:rsid w:val="00705DF1"/>
    <w:rsid w:val="00714B24"/>
    <w:rsid w:val="00727A56"/>
    <w:rsid w:val="00732D67"/>
    <w:rsid w:val="0073349B"/>
    <w:rsid w:val="007348C5"/>
    <w:rsid w:val="00747C3F"/>
    <w:rsid w:val="00750973"/>
    <w:rsid w:val="00753BB6"/>
    <w:rsid w:val="00754F8B"/>
    <w:rsid w:val="00787AA1"/>
    <w:rsid w:val="007B6957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B88"/>
    <w:rsid w:val="00A51CB8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C6945"/>
    <w:rsid w:val="00AD78DA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D744F"/>
    <w:rsid w:val="00BE7543"/>
    <w:rsid w:val="00C04B2D"/>
    <w:rsid w:val="00C16405"/>
    <w:rsid w:val="00C165B2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C7442"/>
    <w:rsid w:val="00D109F3"/>
    <w:rsid w:val="00D12CB8"/>
    <w:rsid w:val="00D17430"/>
    <w:rsid w:val="00D17B2D"/>
    <w:rsid w:val="00D231BE"/>
    <w:rsid w:val="00D305E2"/>
    <w:rsid w:val="00D55583"/>
    <w:rsid w:val="00D7035B"/>
    <w:rsid w:val="00D7323A"/>
    <w:rsid w:val="00D8580D"/>
    <w:rsid w:val="00D945CE"/>
    <w:rsid w:val="00D972C4"/>
    <w:rsid w:val="00D97D88"/>
    <w:rsid w:val="00DA3FFA"/>
    <w:rsid w:val="00DB25EE"/>
    <w:rsid w:val="00DB5780"/>
    <w:rsid w:val="00DD31A0"/>
    <w:rsid w:val="00E173B4"/>
    <w:rsid w:val="00E323DC"/>
    <w:rsid w:val="00E450F3"/>
    <w:rsid w:val="00E540C2"/>
    <w:rsid w:val="00E61B0F"/>
    <w:rsid w:val="00E67599"/>
    <w:rsid w:val="00E912CB"/>
    <w:rsid w:val="00EB53F8"/>
    <w:rsid w:val="00EC2442"/>
    <w:rsid w:val="00ED75CE"/>
    <w:rsid w:val="00EF50E7"/>
    <w:rsid w:val="00F01818"/>
    <w:rsid w:val="00F07508"/>
    <w:rsid w:val="00F33CFB"/>
    <w:rsid w:val="00F514F8"/>
    <w:rsid w:val="00F75895"/>
    <w:rsid w:val="00FA15FC"/>
    <w:rsid w:val="00FC01E0"/>
    <w:rsid w:val="00FD0194"/>
    <w:rsid w:val="00FD45ED"/>
    <w:rsid w:val="00FD59B1"/>
    <w:rsid w:val="00FE0AD3"/>
    <w:rsid w:val="00FE1A75"/>
    <w:rsid w:val="00FE2394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50973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973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50973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973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2115F3"/>
    <w:rsid w:val="00257758"/>
    <w:rsid w:val="00265211"/>
    <w:rsid w:val="00273C44"/>
    <w:rsid w:val="00343601"/>
    <w:rsid w:val="004778CD"/>
    <w:rsid w:val="004A288B"/>
    <w:rsid w:val="005039CB"/>
    <w:rsid w:val="006008AE"/>
    <w:rsid w:val="00685EAD"/>
    <w:rsid w:val="0074344D"/>
    <w:rsid w:val="007E115D"/>
    <w:rsid w:val="008424BB"/>
    <w:rsid w:val="00861092"/>
    <w:rsid w:val="00881CC3"/>
    <w:rsid w:val="0097677B"/>
    <w:rsid w:val="009D3121"/>
    <w:rsid w:val="00A12EBD"/>
    <w:rsid w:val="00A16712"/>
    <w:rsid w:val="00A57FBB"/>
    <w:rsid w:val="00AD122B"/>
    <w:rsid w:val="00BD617F"/>
    <w:rsid w:val="00C51AAF"/>
    <w:rsid w:val="00D50F93"/>
    <w:rsid w:val="00E6312E"/>
    <w:rsid w:val="00ED70EF"/>
    <w:rsid w:val="00F040A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14</cp:revision>
  <cp:lastPrinted>2018-03-27T10:15:00Z</cp:lastPrinted>
  <dcterms:created xsi:type="dcterms:W3CDTF">2017-11-28T11:05:00Z</dcterms:created>
  <dcterms:modified xsi:type="dcterms:W3CDTF">2018-03-28T11:02:00Z</dcterms:modified>
</cp:coreProperties>
</file>