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7B03D1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 Р У Г А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1C95" w:rsidRDefault="005E1C95" w:rsidP="00A5694F">
      <w:pPr>
        <w:pStyle w:val="BodyText"/>
        <w:jc w:val="center"/>
        <w:rPr>
          <w:rFonts w:ascii="Arial" w:eastAsia="Arial" w:hAnsi="Arial" w:cs="Arial"/>
          <w:lang w:val="sr-Latn-RS"/>
        </w:rPr>
      </w:pPr>
      <w:proofErr w:type="spellStart"/>
      <w:r w:rsidRPr="005E1C95">
        <w:rPr>
          <w:rFonts w:ascii="Arial" w:eastAsia="Arial" w:hAnsi="Arial" w:cs="Arial"/>
          <w:lang w:val="en-US"/>
        </w:rPr>
        <w:t>Хидраулички</w:t>
      </w:r>
      <w:proofErr w:type="spellEnd"/>
      <w:r w:rsidRPr="005E1C95">
        <w:rPr>
          <w:rFonts w:ascii="Arial" w:eastAsia="Arial" w:hAnsi="Arial" w:cs="Arial"/>
          <w:lang w:val="en-US"/>
        </w:rPr>
        <w:t xml:space="preserve"> </w:t>
      </w:r>
      <w:proofErr w:type="spellStart"/>
      <w:r w:rsidRPr="005E1C95">
        <w:rPr>
          <w:rFonts w:ascii="Arial" w:eastAsia="Arial" w:hAnsi="Arial" w:cs="Arial"/>
          <w:lang w:val="en-US"/>
        </w:rPr>
        <w:t>погони</w:t>
      </w:r>
      <w:proofErr w:type="spellEnd"/>
      <w:r w:rsidRPr="005E1C95">
        <w:rPr>
          <w:rFonts w:ascii="Arial" w:eastAsia="Arial" w:hAnsi="Arial" w:cs="Arial"/>
          <w:lang w:val="en-US"/>
        </w:rPr>
        <w:t xml:space="preserve"> ГПО</w:t>
      </w:r>
      <w:r w:rsidRPr="005E1C95">
        <w:rPr>
          <w:rFonts w:ascii="Arial" w:eastAsia="Arial" w:hAnsi="Arial" w:cs="Arial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1469/2018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 xml:space="preserve"> (ЈН/3000/0190/2018)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634B5C" w:rsidRDefault="00A5694F" w:rsidP="00634B5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634B5C" w:rsidRPr="00634B5C">
        <w:rPr>
          <w:rFonts w:ascii="Arial" w:hAnsi="Arial" w:cs="Arial"/>
          <w:sz w:val="22"/>
          <w:szCs w:val="22"/>
          <w:lang w:val="sr-Latn-RS" w:eastAsia="en-US"/>
        </w:rPr>
        <w:t>5364-E.03.02.-502575/1</w:t>
      </w:r>
      <w:r w:rsidR="00634B5C">
        <w:rPr>
          <w:rFonts w:ascii="Arial" w:hAnsi="Arial" w:cs="Arial"/>
          <w:sz w:val="22"/>
          <w:szCs w:val="22"/>
          <w:lang w:val="sr-Latn-RS" w:eastAsia="en-US"/>
        </w:rPr>
        <w:t>7</w:t>
      </w:r>
      <w:r w:rsidR="00634B5C" w:rsidRPr="00634B5C">
        <w:rPr>
          <w:rFonts w:ascii="Arial" w:hAnsi="Arial" w:cs="Arial"/>
          <w:sz w:val="22"/>
          <w:szCs w:val="22"/>
          <w:lang w:val="sr-Latn-RS" w:eastAsia="en-US"/>
        </w:rPr>
        <w:t>-2018 o</w:t>
      </w:r>
      <w:r w:rsidR="00634B5C" w:rsidRPr="00634B5C">
        <w:rPr>
          <w:rFonts w:ascii="Arial" w:hAnsi="Arial" w:cs="Arial"/>
          <w:sz w:val="22"/>
          <w:szCs w:val="22"/>
          <w:lang w:val="sr-Cyrl-RS" w:eastAsia="en-US"/>
        </w:rPr>
        <w:t>д 21.12.2018.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7B03D1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E1C95" w:rsidRPr="005E1C95">
        <w:rPr>
          <w:rFonts w:ascii="Arial" w:eastAsia="Arial" w:hAnsi="Arial" w:cs="Arial"/>
          <w:lang w:val="en-US"/>
        </w:rPr>
        <w:t>Хидраулички</w:t>
      </w:r>
      <w:proofErr w:type="spellEnd"/>
      <w:r w:rsidR="005E1C95" w:rsidRPr="005E1C95">
        <w:rPr>
          <w:rFonts w:ascii="Arial" w:eastAsia="Arial" w:hAnsi="Arial" w:cs="Arial"/>
          <w:lang w:val="en-US"/>
        </w:rPr>
        <w:t xml:space="preserve"> </w:t>
      </w:r>
      <w:proofErr w:type="spellStart"/>
      <w:r w:rsidR="005E1C95" w:rsidRPr="005E1C95">
        <w:rPr>
          <w:rFonts w:ascii="Arial" w:eastAsia="Arial" w:hAnsi="Arial" w:cs="Arial"/>
          <w:lang w:val="en-US"/>
        </w:rPr>
        <w:t>погони</w:t>
      </w:r>
      <w:proofErr w:type="spellEnd"/>
      <w:r w:rsidR="005E1C95" w:rsidRPr="005E1C95">
        <w:rPr>
          <w:rFonts w:ascii="Arial" w:eastAsia="Arial" w:hAnsi="Arial" w:cs="Arial"/>
          <w:lang w:val="en-US"/>
        </w:rPr>
        <w:t xml:space="preserve"> ГПО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5E1C9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ичкој спецификацији“, тачка 3.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5E1C95">
        <w:rPr>
          <w:rFonts w:ascii="Arial" w:hAnsi="Arial" w:cs="Arial"/>
          <w:color w:val="000000" w:themeColor="text1"/>
          <w:sz w:val="22"/>
          <w:szCs w:val="22"/>
          <w:lang w:val="sr-Latn-RS"/>
        </w:rPr>
        <w:t>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Врста и количина добара, на страни 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/53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>мења се тачка 29. И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5E1C95" w:rsidRPr="00EC7917" w:rsidRDefault="005E1C95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Pr="00EC7917" w:rsidRDefault="007B03D1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7B03D1">
        <w:rPr>
          <w:rFonts w:ascii="Arial" w:hAnsi="Arial" w:cs="Arial"/>
          <w:color w:val="000000"/>
          <w:sz w:val="22"/>
          <w:szCs w:val="22"/>
          <w:lang w:val="sr-Latn-RS"/>
        </w:rPr>
        <w:t>Увртни прикључак М27x2 за цев Ø16; PPT Арматуре А 16-ТМ27x2 или одговарајуће</w:t>
      </w:r>
    </w:p>
    <w:p w:rsidR="00927222" w:rsidRDefault="00927222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7B03D1" w:rsidRDefault="007B03D1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-Важећи Образац структуре цене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34B5C" w:rsidRPr="00634B5C" w:rsidRDefault="00634B5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P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Pr="005E1C95" w:rsidRDefault="005E1C95" w:rsidP="005E1C95">
      <w:pPr>
        <w:numPr>
          <w:ilvl w:val="0"/>
          <w:numId w:val="15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862"/>
        <w:gridCol w:w="1159"/>
      </w:tblGrid>
      <w:tr w:rsidR="005E1C95" w:rsidRPr="005E1C95" w:rsidTr="005F4EC7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E1C95" w:rsidRPr="005E1C95" w:rsidRDefault="005E1C95" w:rsidP="005E1C95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Клипно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радијална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пумпа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Hawe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R1,4 A-PYD; 700bar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Балон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хидро-акумулатора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32 lit. 7/8"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7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цилиндар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PPT E1B 100/56/650/1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цилиндар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PPT E1B 100/56/500/1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Ушка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клипњаче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SKF SIR 50 ES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4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сет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хидрауличног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цилиндра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Е1B 100/56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Компл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црево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V2NP-13x500 M2-24x1,5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12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црево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V2NP-13x1300 M2-24x1,5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8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М14x1,5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М16x1,5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М18x1,5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М20x1,5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14-TM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М22x1,5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16-TM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Ø6;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06-LG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G1/4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08-LG3/8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08-LG1/2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G1/4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10-LG3/8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10-LG1/2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12-LG1/2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18-LG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G3/4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Ø22;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22-LG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14-TG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16-TG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12-ТМ27x2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14-ТМ27x2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7B03D1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16-ТМ27x2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</w:tbl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5E1C95">
        <w:rPr>
          <w:rFonts w:ascii="Arial" w:eastAsiaTheme="minorHAnsi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DD48E9" wp14:editId="5642F879">
            <wp:simplePos x="0" y="0"/>
            <wp:positionH relativeFrom="column">
              <wp:posOffset>4183380</wp:posOffset>
            </wp:positionH>
            <wp:positionV relativeFrom="paragraph">
              <wp:posOffset>93980</wp:posOffset>
            </wp:positionV>
            <wp:extent cx="1357630" cy="4166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b/>
          <w:szCs w:val="24"/>
          <w:lang w:val="sr-Latn-RS" w:eastAsia="en-US"/>
        </w:rPr>
        <w:t>Техничка спецификација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b/>
          <w:szCs w:val="24"/>
          <w:lang w:val="sr-Latn-RS" w:eastAsia="en-US"/>
        </w:rPr>
        <w:t xml:space="preserve">Pozicija 2. </w:t>
      </w:r>
      <w:r>
        <w:rPr>
          <w:rFonts w:ascii="Arial" w:eastAsiaTheme="minorHAnsi" w:hAnsi="Arial" w:cs="Arial"/>
          <w:szCs w:val="24"/>
          <w:lang w:val="sr-Latn-RS" w:eastAsia="en-US"/>
        </w:rPr>
        <w:t>Балон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r>
        <w:rPr>
          <w:rFonts w:ascii="Arial" w:eastAsiaTheme="minorHAnsi" w:hAnsi="Arial" w:cs="Arial"/>
          <w:szCs w:val="24"/>
          <w:lang w:val="sr-Latn-RS" w:eastAsia="en-US"/>
        </w:rPr>
        <w:t>хидро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>-</w:t>
      </w:r>
      <w:r>
        <w:rPr>
          <w:rFonts w:ascii="Arial" w:eastAsiaTheme="minorHAnsi" w:hAnsi="Arial" w:cs="Arial"/>
          <w:szCs w:val="24"/>
          <w:lang w:val="sr-Latn-RS" w:eastAsia="en-US"/>
        </w:rPr>
        <w:t>акумулатора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 xml:space="preserve"> 32 lit. 7/8" 14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Запремина: 32 L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Прикључак: 7/8"-14UNF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D=198mm (Слика 1)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Максимални радни притисак: 330 bar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 xml:space="preserve">Радна температура: -20 .. 80 </w:t>
      </w:r>
      <w:r w:rsidRPr="005E1C95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>C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Материјал: Нитриле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</w:p>
    <w:p w:rsidR="005E1C95" w:rsidRPr="005E1C95" w:rsidRDefault="005E1C95" w:rsidP="005E1C95">
      <w:pPr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</w:p>
    <w:p w:rsidR="005E1C95" w:rsidRPr="005E1C95" w:rsidRDefault="005E1C95" w:rsidP="005E1C95">
      <w:pPr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</w:p>
    <w:p w:rsidR="005E1C95" w:rsidRDefault="005E1C95" w:rsidP="005E1C95">
      <w:pPr>
        <w:tabs>
          <w:tab w:val="left" w:pos="7635"/>
        </w:tabs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  <w:r w:rsidRPr="005E1C95">
        <w:rPr>
          <w:rFonts w:eastAsiaTheme="minorHAnsi"/>
          <w:szCs w:val="24"/>
          <w:lang w:val="sr-Latn-RS" w:eastAsia="en-US"/>
        </w:rPr>
        <w:t xml:space="preserve">                                                                                                </w:t>
      </w:r>
    </w:p>
    <w:p w:rsidR="005E1C95" w:rsidRDefault="005E1C95" w:rsidP="005E1C95">
      <w:pPr>
        <w:tabs>
          <w:tab w:val="left" w:pos="7635"/>
        </w:tabs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</w:p>
    <w:p w:rsidR="005E1C95" w:rsidRPr="005E1C95" w:rsidRDefault="005E1C95" w:rsidP="005E1C95">
      <w:pPr>
        <w:tabs>
          <w:tab w:val="left" w:pos="7635"/>
        </w:tabs>
        <w:suppressAutoHyphens w:val="0"/>
        <w:spacing w:after="200" w:line="276" w:lineRule="auto"/>
        <w:jc w:val="right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Слика1. Балон хидроакумулатора</w:t>
      </w:r>
    </w:p>
    <w:p w:rsidR="005E1C95" w:rsidRPr="005E1C95" w:rsidRDefault="005E1C95" w:rsidP="005E1C95">
      <w:pPr>
        <w:tabs>
          <w:tab w:val="left" w:pos="7635"/>
        </w:tabs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  <w:r w:rsidRPr="005E1C95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1CE6CB50" wp14:editId="5D127648">
            <wp:extent cx="5943600" cy="1705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mulat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95" w:rsidRPr="005E1C95" w:rsidRDefault="005E1C95" w:rsidP="005E1C95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Слика 2. Хидроакумулатор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5E1C95" w:rsidRPr="00925C41" w:rsidRDefault="00925C41" w:rsidP="005E1C95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</w:pP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Током припреме понуде, сваки понуђач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има могућност </w:t>
      </w:r>
      <w:r>
        <w:rPr>
          <w:rFonts w:ascii="Arial" w:hAnsi="Arial" w:cs="Arial"/>
          <w:color w:val="000000" w:themeColor="text1"/>
          <w:sz w:val="22"/>
          <w:szCs w:val="22"/>
          <w:lang w:val="sr-Latn-CS"/>
        </w:rPr>
        <w:t>да посети ТЕНТ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„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Б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“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и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детаљно се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упозна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а предметом набавке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5E1C95" w:rsidRPr="005E1C95" w:rsidRDefault="005E1C95" w:rsidP="005E1C95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</w:pP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Особа за контакт ради заказивања посете је инжењер </w:t>
      </w:r>
      <w:r w:rsidRP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Урош Танасић</w: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, </w:t>
      </w:r>
    </w:p>
    <w:p w:rsidR="005E1C95" w:rsidRPr="005E1C95" w:rsidRDefault="005E1C95" w:rsidP="005E1C95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u w:val="single"/>
          <w:lang w:val="sr-Cyrl-RS"/>
        </w:rPr>
      </w:pP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e mail</w: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: </w: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fldChar w:fldCharType="begin"/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instrText xml:space="preserve"> HYPERLINK "mailto:uros.tanasic</w:instrTex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u w:val="single"/>
          <w:lang w:val="sr-Latn-CS"/>
        </w:rPr>
        <w:instrText>@eps.rs</w:instrTex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instrText xml:space="preserve">" </w:instrTex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fldChar w:fldCharType="separate"/>
      </w:r>
      <w:r w:rsidRPr="005E1C95">
        <w:rPr>
          <w:rStyle w:val="Hyperlink"/>
          <w:rFonts w:ascii="Arial" w:hAnsi="Arial" w:cs="Arial"/>
          <w:sz w:val="22"/>
          <w:szCs w:val="22"/>
          <w:lang w:val="sr-Latn-RS"/>
        </w:rPr>
        <w:t>uros.tanasic</w:t>
      </w:r>
      <w:r w:rsidRPr="005E1C95">
        <w:rPr>
          <w:rStyle w:val="Hyperlink"/>
          <w:rFonts w:ascii="Arial" w:hAnsi="Arial" w:cs="Arial"/>
          <w:bCs/>
          <w:sz w:val="22"/>
          <w:szCs w:val="22"/>
          <w:lang w:val="sr-Latn-CS"/>
        </w:rPr>
        <w:t>@eps.rs</w:t>
      </w:r>
      <w:r w:rsidRP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fldChar w:fldCharType="end"/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b/>
          <w:bCs/>
          <w:sz w:val="22"/>
          <w:szCs w:val="22"/>
          <w:lang w:val="sr-Cyrl-RS" w:eastAsia="en-US"/>
        </w:rPr>
        <w:t>3.2. Каталошки изводи</w:t>
      </w:r>
    </w:p>
    <w:p w:rsidR="005E1C95" w:rsidRPr="005E1C95" w:rsidRDefault="005E1C95" w:rsidP="005E1C95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5E1C95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</w:t>
      </w:r>
      <w:r w:rsidRPr="005E1C95">
        <w:rPr>
          <w:rFonts w:ascii="Arial" w:hAnsi="Arial" w:cs="Arial"/>
          <w:sz w:val="22"/>
          <w:szCs w:val="22"/>
          <w:lang w:val="sr-Cyrl-RS" w:eastAsia="en-US"/>
        </w:rPr>
        <w:t>каталошку документацију из које се види да понуђена добра задовољавају карактеристике из техничке спецификације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5E1C95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120</w:t>
      </w: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5E1C95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E1C95" w:rsidRPr="005E1C95" w:rsidRDefault="005E1C95" w:rsidP="005E1C95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E1C95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E1C95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5E1C95" w:rsidRPr="005E1C95" w:rsidRDefault="005E1C95" w:rsidP="005E1C95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5E1C95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E1C95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5E1C95" w:rsidRPr="005E1C95" w:rsidRDefault="005E1C95" w:rsidP="005E1C95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E1C95" w:rsidRPr="005E1C95" w:rsidRDefault="005E1C95" w:rsidP="005E1C95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E1C95" w:rsidRPr="005E1C95" w:rsidRDefault="005E1C95" w:rsidP="005E1C95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E1C95" w:rsidRPr="005E1C95" w:rsidRDefault="005E1C95" w:rsidP="005E1C9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E1C95" w:rsidRPr="005E1C95" w:rsidRDefault="005E1C95" w:rsidP="005E1C9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E1C95" w:rsidRPr="005E1C95" w:rsidRDefault="005E1C95" w:rsidP="005E1C9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E1C95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hAnsi="Arial" w:cstheme="minorBidi"/>
          <w:b/>
          <w:sz w:val="22"/>
          <w:szCs w:val="22"/>
        </w:rPr>
        <w:t>3.</w:t>
      </w:r>
      <w:r w:rsidRPr="005E1C95">
        <w:rPr>
          <w:rFonts w:ascii="Arial" w:hAnsi="Arial" w:cstheme="minorBidi"/>
          <w:b/>
          <w:sz w:val="22"/>
          <w:szCs w:val="22"/>
          <w:lang w:val="sr-Cyrl-RS"/>
        </w:rPr>
        <w:t>6</w:t>
      </w:r>
      <w:r w:rsidRPr="005E1C95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5E1C95" w:rsidRPr="005E1C95" w:rsidRDefault="005E1C95" w:rsidP="005E1C9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E1C95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E1C95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E1C95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F64843" w:rsidRDefault="005E1C95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  <w:r w:rsidRPr="005E1C95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7B03D1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</w:p>
    <w:p w:rsidR="007B03D1" w:rsidRDefault="007B03D1" w:rsidP="007B03D1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B03D1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7B03D1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7B03D1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7B03D1" w:rsidRPr="007B03D1" w:rsidRDefault="007B03D1" w:rsidP="007B03D1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B03D1" w:rsidRPr="007B03D1" w:rsidRDefault="007B03D1" w:rsidP="007B03D1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B03D1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7B03D1" w:rsidRPr="007B03D1" w:rsidRDefault="007B03D1" w:rsidP="007B03D1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7B03D1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7B03D1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709"/>
        <w:gridCol w:w="1134"/>
        <w:gridCol w:w="1134"/>
        <w:gridCol w:w="1276"/>
        <w:gridCol w:w="1559"/>
      </w:tblGrid>
      <w:tr w:rsidR="007B03D1" w:rsidRPr="007B03D1" w:rsidTr="008E7851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03D1" w:rsidRPr="007B03D1" w:rsidRDefault="007B03D1" w:rsidP="007B03D1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7B03D1" w:rsidRPr="007B03D1" w:rsidRDefault="007B03D1" w:rsidP="007B03D1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 понуђеног добра</w:t>
            </w:r>
          </w:p>
          <w:p w:rsidR="007B03D1" w:rsidRPr="007B03D1" w:rsidRDefault="007B03D1" w:rsidP="007B03D1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7B03D1" w:rsidRPr="007B03D1" w:rsidRDefault="007B03D1" w:rsidP="007B03D1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7B03D1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7B03D1" w:rsidRPr="007B03D1" w:rsidTr="008E7851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Клипно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радијална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пумпа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Hawe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R1,4 A-PYD; 700bar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Балон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хидро-акумулатора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32 lit. 7/8"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цилиндар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PPT E1B 100/56/650/1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цилиндар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PPT E1B 100/56/500/1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Ушка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клипњаче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SKF SIR 50 ES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сет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хидрауличног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цилиндра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Е1B 100/56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Компл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црево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V2NP-13x500 M2-24x1,5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црево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V2NP-13x1300 M2-24x1,5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М14x1,5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08-TM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М16x1,5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10-TM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М18x1,5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12-TM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М20x1,5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14-TM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М22x1,5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16-TM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G1/8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Ø6;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06-LG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G1/4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08-LG3/8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08-LG1/2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G1/4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10-LG3/8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10-LG1/2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12-LG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12-LG1/2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Ø18;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18-LG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G3/4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Ø22;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22-LG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14-TG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16-TG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12-ТМ27x2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8E78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14-ТМ27x2 </w:t>
            </w:r>
          </w:p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7B03D1" w:rsidRPr="007B03D1" w:rsidTr="007B03D1">
        <w:trPr>
          <w:cantSplit/>
          <w:trHeight w:val="2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16-ТМ27x2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7B03D1" w:rsidRPr="007B03D1" w:rsidRDefault="007B03D1" w:rsidP="007B03D1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7B03D1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D1" w:rsidRPr="007B03D1" w:rsidRDefault="007B03D1" w:rsidP="007B03D1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tbl>
      <w:tblPr>
        <w:tblpPr w:leftFromText="141" w:rightFromText="141" w:bottomFromText="200" w:vertAnchor="text" w:horzAnchor="margin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7B03D1" w:rsidRPr="007B03D1" w:rsidTr="008E785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7B03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D1" w:rsidRPr="007B03D1" w:rsidRDefault="007B03D1" w:rsidP="007B03D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B03D1" w:rsidRPr="007B03D1" w:rsidTr="007B03D1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D1" w:rsidRPr="007B03D1" w:rsidRDefault="007B03D1" w:rsidP="007B03D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B03D1" w:rsidRPr="007B03D1" w:rsidTr="008E785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7B03D1" w:rsidRPr="007B03D1" w:rsidRDefault="007B03D1" w:rsidP="007B03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7B03D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7B03D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7B03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D1" w:rsidRPr="007B03D1" w:rsidRDefault="007B03D1" w:rsidP="007B03D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B03D1" w:rsidRPr="007B03D1" w:rsidRDefault="007B03D1" w:rsidP="007B03D1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7B03D1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7B03D1" w:rsidRPr="007B03D1" w:rsidTr="008E7851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7B03D1" w:rsidRPr="007B03D1" w:rsidRDefault="007B03D1" w:rsidP="007B03D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7B03D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7B03D1" w:rsidRPr="007B03D1" w:rsidTr="008E785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7B03D1" w:rsidRPr="007B03D1" w:rsidTr="008E785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7B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7B03D1" w:rsidRPr="007B03D1" w:rsidRDefault="007B03D1" w:rsidP="007B03D1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7B03D1" w:rsidRPr="007B03D1" w:rsidTr="008E785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7B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7B03D1" w:rsidRPr="007B03D1" w:rsidRDefault="007B03D1" w:rsidP="007B03D1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7B03D1" w:rsidRPr="007B03D1" w:rsidTr="008E785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7B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7B03D1" w:rsidRPr="007B03D1" w:rsidRDefault="007B03D1" w:rsidP="007B03D1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7B03D1" w:rsidRPr="007B03D1" w:rsidRDefault="007B03D1" w:rsidP="007B03D1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7B03D1" w:rsidRPr="007B03D1" w:rsidTr="007B03D1">
        <w:trPr>
          <w:jc w:val="center"/>
        </w:trPr>
        <w:tc>
          <w:tcPr>
            <w:tcW w:w="3883" w:type="dxa"/>
            <w:hideMark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8" w:type="dxa"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4" w:type="dxa"/>
          </w:tcPr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7B03D1" w:rsidRPr="007B03D1" w:rsidRDefault="007B03D1" w:rsidP="007B03D1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7B03D1" w:rsidRPr="007B03D1" w:rsidTr="007B03D1">
        <w:trPr>
          <w:jc w:val="center"/>
        </w:trPr>
        <w:tc>
          <w:tcPr>
            <w:tcW w:w="3883" w:type="dxa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8" w:type="dxa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4" w:type="dxa"/>
            <w:hideMark/>
          </w:tcPr>
          <w:p w:rsidR="007B03D1" w:rsidRPr="007B03D1" w:rsidRDefault="007B03D1" w:rsidP="007B03D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7B03D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7B03D1" w:rsidRPr="007B03D1" w:rsidRDefault="007B03D1" w:rsidP="007B03D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B03D1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7B03D1" w:rsidRPr="007B03D1" w:rsidRDefault="007B03D1" w:rsidP="007B03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B03D1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7B03D1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7B03D1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7B03D1" w:rsidRPr="007B03D1" w:rsidRDefault="007B03D1" w:rsidP="007B03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B03D1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7B03D1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B03D1" w:rsidRPr="007B03D1" w:rsidRDefault="007B03D1" w:rsidP="007B03D1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7B03D1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7B03D1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7B03D1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7B03D1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7B03D1" w:rsidRPr="007B03D1" w:rsidRDefault="007B03D1" w:rsidP="007B03D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7B03D1" w:rsidRPr="007B03D1" w:rsidRDefault="007B03D1" w:rsidP="007B03D1">
      <w:pPr>
        <w:tabs>
          <w:tab w:val="left" w:pos="90"/>
        </w:tabs>
        <w:suppressAutoHyphens w:val="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-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у колону 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2а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. </w:t>
      </w:r>
      <w:proofErr w:type="spellStart"/>
      <w:proofErr w:type="gramStart"/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уписати</w:t>
      </w:r>
      <w:proofErr w:type="spellEnd"/>
      <w:proofErr w:type="gramEnd"/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за п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онуђена добра: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 xml:space="preserve"> ознаку/тип понуђеног добра, каталошки број, земљу порекла, назив п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роизвођач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а</w:t>
      </w:r>
      <w:r w:rsidRPr="007B03D1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;</w:t>
      </w:r>
    </w:p>
    <w:p w:rsidR="007B03D1" w:rsidRPr="007B03D1" w:rsidRDefault="007B03D1" w:rsidP="007B03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7B03D1" w:rsidRPr="007B03D1" w:rsidRDefault="007B03D1" w:rsidP="007B03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7B03D1" w:rsidRPr="007B03D1" w:rsidRDefault="007B03D1" w:rsidP="007B03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7B03D1" w:rsidRPr="007B03D1" w:rsidRDefault="007B03D1" w:rsidP="007B03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7B03D1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B03D1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7B03D1" w:rsidRPr="007B03D1" w:rsidRDefault="007B03D1" w:rsidP="007B03D1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7B03D1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7B03D1" w:rsidRPr="007B03D1" w:rsidRDefault="007B03D1" w:rsidP="007B03D1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7B03D1" w:rsidRPr="007B03D1" w:rsidRDefault="007B03D1" w:rsidP="007B03D1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7B03D1" w:rsidRPr="007B03D1" w:rsidRDefault="007B03D1" w:rsidP="007B03D1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7B03D1" w:rsidRPr="007B03D1" w:rsidRDefault="007B03D1" w:rsidP="007B03D1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7B03D1" w:rsidRPr="007B03D1" w:rsidRDefault="007B03D1" w:rsidP="007B03D1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7B03D1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7B03D1" w:rsidRPr="007B03D1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E4" w:rsidRDefault="008B52E4" w:rsidP="00536655">
      <w:r>
        <w:separator/>
      </w:r>
    </w:p>
  </w:endnote>
  <w:endnote w:type="continuationSeparator" w:id="0">
    <w:p w:rsidR="008B52E4" w:rsidRDefault="008B52E4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E4" w:rsidRDefault="008B52E4" w:rsidP="00536655">
      <w:r>
        <w:separator/>
      </w:r>
    </w:p>
  </w:footnote>
  <w:footnote w:type="continuationSeparator" w:id="0">
    <w:p w:rsidR="008B52E4" w:rsidRDefault="008B52E4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1823"/>
    <w:multiLevelType w:val="hybridMultilevel"/>
    <w:tmpl w:val="7798A146"/>
    <w:lvl w:ilvl="0" w:tplc="CF687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8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B2D3E"/>
    <w:multiLevelType w:val="hybridMultilevel"/>
    <w:tmpl w:val="984AB37C"/>
    <w:lvl w:ilvl="0" w:tplc="3A8203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32"/>
  </w:num>
  <w:num w:numId="8">
    <w:abstractNumId w:val="21"/>
  </w:num>
  <w:num w:numId="9">
    <w:abstractNumId w:val="36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31"/>
  </w:num>
  <w:num w:numId="17">
    <w:abstractNumId w:val="18"/>
  </w:num>
  <w:num w:numId="18">
    <w:abstractNumId w:val="17"/>
  </w:num>
  <w:num w:numId="19">
    <w:abstractNumId w:val="20"/>
  </w:num>
  <w:num w:numId="20">
    <w:abstractNumId w:val="12"/>
  </w:num>
  <w:num w:numId="21">
    <w:abstractNumId w:val="26"/>
  </w:num>
  <w:num w:numId="22">
    <w:abstractNumId w:val="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33"/>
  </w:num>
  <w:num w:numId="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9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7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5"/>
  </w:num>
  <w:num w:numId="37">
    <w:abstractNumId w:val="3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3AC4"/>
    <w:rsid w:val="00017720"/>
    <w:rsid w:val="00022922"/>
    <w:rsid w:val="0003075A"/>
    <w:rsid w:val="000962A3"/>
    <w:rsid w:val="000D3496"/>
    <w:rsid w:val="000D6BF0"/>
    <w:rsid w:val="000E1354"/>
    <w:rsid w:val="000F7CA7"/>
    <w:rsid w:val="00130A79"/>
    <w:rsid w:val="00183FF9"/>
    <w:rsid w:val="001A6CDC"/>
    <w:rsid w:val="00233C5F"/>
    <w:rsid w:val="00244E78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5E1C95"/>
    <w:rsid w:val="00634B5C"/>
    <w:rsid w:val="00641DD5"/>
    <w:rsid w:val="0064724F"/>
    <w:rsid w:val="006C4AEA"/>
    <w:rsid w:val="006E7B9F"/>
    <w:rsid w:val="00706F20"/>
    <w:rsid w:val="00736ED9"/>
    <w:rsid w:val="00767D35"/>
    <w:rsid w:val="007A6007"/>
    <w:rsid w:val="007B03D1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B52E4"/>
    <w:rsid w:val="008E6885"/>
    <w:rsid w:val="009035C9"/>
    <w:rsid w:val="00925C41"/>
    <w:rsid w:val="00927222"/>
    <w:rsid w:val="00930C99"/>
    <w:rsid w:val="00987922"/>
    <w:rsid w:val="00990485"/>
    <w:rsid w:val="009D07D6"/>
    <w:rsid w:val="00A03077"/>
    <w:rsid w:val="00A17BE5"/>
    <w:rsid w:val="00A5694F"/>
    <w:rsid w:val="00A60BCB"/>
    <w:rsid w:val="00AC790E"/>
    <w:rsid w:val="00B2367E"/>
    <w:rsid w:val="00B8704C"/>
    <w:rsid w:val="00BF0D75"/>
    <w:rsid w:val="00C034A4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70A20"/>
    <w:rsid w:val="00E772B8"/>
    <w:rsid w:val="00EC7917"/>
    <w:rsid w:val="00EE7C87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2018-12-07T06:58:00Z</cp:lastPrinted>
  <dcterms:created xsi:type="dcterms:W3CDTF">2018-12-19T13:17:00Z</dcterms:created>
  <dcterms:modified xsi:type="dcterms:W3CDTF">2018-12-21T10:29:00Z</dcterms:modified>
</cp:coreProperties>
</file>