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86811" w:rsidRDefault="00182F86" w:rsidP="00246B36">
      <w:pPr>
        <w:jc w:val="center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ДРУГА</w:t>
      </w:r>
      <w:r w:rsidR="00C6690C" w:rsidRPr="00186811">
        <w:rPr>
          <w:rFonts w:ascii="Arial" w:hAnsi="Arial" w:cs="Arial"/>
          <w:sz w:val="22"/>
          <w:szCs w:val="22"/>
          <w:lang w:val="ru-RU" w:eastAsia="en-US"/>
        </w:rPr>
        <w:t xml:space="preserve"> ИЗМЕНА</w:t>
      </w:r>
    </w:p>
    <w:p w:rsidR="00C6690C" w:rsidRPr="00186811" w:rsidRDefault="00C6690C" w:rsidP="00F717AF">
      <w:pPr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186811">
        <w:rPr>
          <w:rFonts w:ascii="Arial" w:hAnsi="Arial" w:cs="Arial"/>
          <w:sz w:val="22"/>
          <w:szCs w:val="22"/>
          <w:lang w:val="ru-RU" w:eastAsia="en-US"/>
        </w:rPr>
        <w:t>КОНКУРСНЕ ДОКУМЕНТАЦИЈЕ</w:t>
      </w:r>
    </w:p>
    <w:p w:rsidR="00C6690C" w:rsidRPr="00186811" w:rsidRDefault="00C6690C" w:rsidP="00F717AF">
      <w:pPr>
        <w:pStyle w:val="BodyText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186811">
        <w:rPr>
          <w:rFonts w:ascii="Arial" w:hAnsi="Arial" w:cs="Arial"/>
          <w:sz w:val="22"/>
          <w:szCs w:val="22"/>
          <w:lang w:val="ru-RU" w:eastAsia="en-US"/>
        </w:rPr>
        <w:t>ЗА ЈАВНУ НАБАВКУ РАДОВА</w:t>
      </w: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186811">
        <w:rPr>
          <w:rFonts w:ascii="Arial" w:hAnsi="Arial"/>
          <w:color w:val="000000"/>
          <w:lang w:val="sr-Cyrl-RS"/>
        </w:rPr>
        <w:t>„</w:t>
      </w:r>
      <w:r w:rsidR="00186811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186811">
        <w:rPr>
          <w:rFonts w:ascii="Arial" w:eastAsia="Arial" w:hAnsi="Arial"/>
          <w:color w:val="000000"/>
          <w:lang w:val="sr-Cyrl-RS"/>
        </w:rPr>
        <w:t>“</w:t>
      </w:r>
      <w:r w:rsidRPr="00186811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C6690C" w:rsidRPr="0018681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 w:eastAsia="en-U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86811" w:rsidRPr="00DF12F8">
        <w:rPr>
          <w:rFonts w:ascii="Arial" w:hAnsi="Arial"/>
          <w:color w:val="000000"/>
        </w:rPr>
        <w:t>3000/1692/2018</w:t>
      </w:r>
      <w:r w:rsidR="00186811">
        <w:rPr>
          <w:rFonts w:ascii="Arial" w:hAnsi="Arial"/>
          <w:color w:val="000000"/>
          <w:lang w:val="en-GB"/>
        </w:rPr>
        <w:t xml:space="preserve"> </w:t>
      </w:r>
      <w:r w:rsidR="00186811" w:rsidRPr="00DF12F8">
        <w:rPr>
          <w:rFonts w:ascii="Arial" w:hAnsi="Arial"/>
          <w:color w:val="000000"/>
        </w:rPr>
        <w:t>(2157/</w:t>
      </w:r>
      <w:r w:rsidR="00186811" w:rsidRPr="00B21AD4">
        <w:rPr>
          <w:rFonts w:ascii="Arial" w:eastAsia="Calibri" w:hAnsi="Arial"/>
          <w:iCs/>
          <w:lang w:val="ru-RU"/>
        </w:rPr>
        <w:t>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86811">
        <w:rPr>
          <w:rFonts w:ascii="Arial" w:hAnsi="Arial"/>
          <w:lang w:val="sr-Cyrl-RS"/>
        </w:rPr>
        <w:t>105-Е.03.01-2179/</w:t>
      </w:r>
      <w:r w:rsidR="00A215F1">
        <w:rPr>
          <w:rFonts w:ascii="Arial" w:hAnsi="Arial"/>
          <w:lang w:val="sr-Cyrl-RS"/>
        </w:rPr>
        <w:t>8</w:t>
      </w:r>
      <w:r w:rsidR="00186811">
        <w:rPr>
          <w:rFonts w:ascii="Arial" w:hAnsi="Arial"/>
          <w:lang w:val="sr-Cyrl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</w:t>
      </w:r>
      <w:r w:rsidR="007221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215F1">
        <w:rPr>
          <w:rFonts w:ascii="Arial" w:hAnsi="Arial" w:cs="Arial"/>
          <w:sz w:val="22"/>
          <w:szCs w:val="22"/>
          <w:lang w:val="sr-Cyrl-RS"/>
        </w:rPr>
        <w:t>16</w:t>
      </w:r>
      <w:r w:rsidR="007221E1">
        <w:rPr>
          <w:rFonts w:ascii="Arial" w:hAnsi="Arial" w:cs="Arial"/>
          <w:sz w:val="22"/>
          <w:szCs w:val="22"/>
          <w:lang w:val="sr-Cyrl-RS"/>
        </w:rPr>
        <w:t>.01</w:t>
      </w:r>
      <w:r w:rsidR="00186811">
        <w:rPr>
          <w:rFonts w:ascii="Arial" w:hAnsi="Arial" w:cs="Arial"/>
          <w:sz w:val="22"/>
          <w:szCs w:val="22"/>
          <w:lang w:val="sr-Cyrl-RS"/>
        </w:rPr>
        <w:t>.2019.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6811" w:rsidRDefault="00186811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186811">
        <w:rPr>
          <w:rFonts w:ascii="Arial" w:hAnsi="Arial" w:cs="Arial"/>
          <w:sz w:val="22"/>
          <w:szCs w:val="22"/>
        </w:rPr>
        <w:t xml:space="preserve">, </w:t>
      </w:r>
      <w:r w:rsidR="00A215F1">
        <w:rPr>
          <w:rFonts w:ascii="Arial" w:hAnsi="Arial" w:cs="Arial"/>
          <w:sz w:val="22"/>
          <w:szCs w:val="22"/>
          <w:lang w:val="sr-Cyrl-RS"/>
        </w:rPr>
        <w:t>16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.01.2019.</w:t>
      </w:r>
      <w:r w:rsidR="00C6690C" w:rsidRPr="00186811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86811" w:rsidRDefault="00182F8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18681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8681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8681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8681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6811">
        <w:rPr>
          <w:rFonts w:ascii="Arial" w:hAnsi="Arial" w:cs="Arial"/>
          <w:sz w:val="22"/>
          <w:szCs w:val="22"/>
        </w:rPr>
        <w:t>за јавну набавку</w:t>
      </w:r>
      <w:r w:rsidRPr="00186811">
        <w:rPr>
          <w:rFonts w:ascii="Arial" w:hAnsi="Arial" w:cs="Arial"/>
          <w:sz w:val="22"/>
          <w:szCs w:val="22"/>
          <w:lang w:val="ru-RU"/>
        </w:rPr>
        <w:t xml:space="preserve"> </w:t>
      </w:r>
      <w:r w:rsidR="00186811" w:rsidRPr="00186811">
        <w:rPr>
          <w:rFonts w:ascii="Arial" w:hAnsi="Arial" w:cs="Arial"/>
          <w:sz w:val="22"/>
          <w:szCs w:val="22"/>
          <w:lang w:val="ru-RU" w:eastAsia="en-US"/>
        </w:rPr>
        <w:t>РАДОВА</w:t>
      </w:r>
      <w:r w:rsidR="00186811" w:rsidRPr="00295D8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186811">
        <w:rPr>
          <w:rFonts w:ascii="Arial" w:hAnsi="Arial"/>
          <w:color w:val="000000"/>
          <w:lang w:val="sr-Cyrl-RS"/>
        </w:rPr>
        <w:t>„</w:t>
      </w:r>
      <w:r w:rsidR="00186811">
        <w:rPr>
          <w:rFonts w:ascii="Arial" w:eastAsia="Arial" w:hAnsi="Arial"/>
          <w:color w:val="000000"/>
        </w:rPr>
        <w:t>Санација преливног система касете 3 депоније пепела и шљаке ТЕНТ А</w:t>
      </w:r>
      <w:r w:rsidR="00186811">
        <w:rPr>
          <w:rFonts w:ascii="Arial" w:eastAsia="Arial" w:hAnsi="Arial"/>
          <w:color w:val="000000"/>
          <w:lang w:val="sr-Cyrl-RS"/>
        </w:rPr>
        <w:t>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182F86" w:rsidP="00125861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3.6 </w:t>
      </w:r>
      <w:r w:rsidR="0015512F" w:rsidRPr="00125861">
        <w:rPr>
          <w:rFonts w:ascii="Arial" w:hAnsi="Arial" w:cs="Arial"/>
          <w:sz w:val="22"/>
          <w:szCs w:val="22"/>
        </w:rPr>
        <w:t xml:space="preserve"> техничке спецификације на страни 31/111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>мења</w:t>
      </w:r>
      <w:r w:rsidR="00125861" w:rsidRPr="00125861">
        <w:rPr>
          <w:rFonts w:ascii="Arial" w:hAnsi="Arial" w:cs="Arial"/>
          <w:sz w:val="22"/>
          <w:szCs w:val="22"/>
        </w:rPr>
        <w:t xml:space="preserve"> се 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125861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C3940">
        <w:rPr>
          <w:rFonts w:ascii="Arial" w:hAnsi="Arial" w:cs="Arial"/>
          <w:sz w:val="22"/>
          <w:szCs w:val="22"/>
          <w:lang w:val="sr-Cyrl-RS" w:eastAsia="en-US"/>
        </w:rPr>
        <w:t xml:space="preserve">сада </w:t>
      </w:r>
      <w:r w:rsidR="00125861">
        <w:rPr>
          <w:rFonts w:ascii="Arial" w:hAnsi="Arial" w:cs="Arial"/>
          <w:sz w:val="22"/>
          <w:szCs w:val="22"/>
          <w:lang w:val="sr-Cyrl-RS" w:eastAsia="en-US"/>
        </w:rPr>
        <w:t>гласи:</w:t>
      </w:r>
    </w:p>
    <w:p w:rsidR="00125861" w:rsidRDefault="00125861" w:rsidP="00125861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25861" w:rsidRPr="00125861" w:rsidRDefault="00125861" w:rsidP="00125861">
      <w:pPr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25861">
        <w:rPr>
          <w:rFonts w:ascii="Arial" w:hAnsi="Arial" w:cs="Arial"/>
          <w:b/>
          <w:sz w:val="22"/>
          <w:szCs w:val="22"/>
          <w:lang w:val="sr-Cyrl-RS" w:eastAsia="en-US"/>
        </w:rPr>
        <w:t xml:space="preserve">3.6. </w:t>
      </w:r>
      <w:r w:rsidR="00182F86">
        <w:rPr>
          <w:rFonts w:ascii="Arial" w:hAnsi="Arial" w:cs="Arial"/>
          <w:b/>
          <w:sz w:val="22"/>
          <w:szCs w:val="22"/>
          <w:lang w:val="sr-Cyrl-RS" w:eastAsia="en-US"/>
        </w:rPr>
        <w:t xml:space="preserve"> Обилазак локације</w:t>
      </w:r>
      <w:r w:rsidR="00182F86" w:rsidRPr="00182F86">
        <w:rPr>
          <w:rFonts w:ascii="Arial" w:hAnsi="Arial" w:cs="Arial"/>
          <w:b/>
          <w:sz w:val="22"/>
          <w:szCs w:val="22"/>
          <w:lang w:val="sr-Cyrl-RS" w:eastAsia="en-US"/>
        </w:rPr>
        <w:t xml:space="preserve"> депоније пепела и шљаке ТЕНТ А</w:t>
      </w:r>
      <w:r w:rsidR="00182F86">
        <w:rPr>
          <w:rFonts w:ascii="Arial" w:hAnsi="Arial" w:cs="Arial"/>
          <w:b/>
          <w:sz w:val="22"/>
          <w:szCs w:val="22"/>
          <w:lang w:val="sr-Cyrl-RS" w:eastAsia="en-US"/>
        </w:rPr>
        <w:t xml:space="preserve"> и у</w:t>
      </w:r>
      <w:r w:rsidRPr="00182F86">
        <w:rPr>
          <w:rFonts w:ascii="Arial" w:hAnsi="Arial" w:cs="Arial"/>
          <w:b/>
          <w:sz w:val="22"/>
          <w:szCs w:val="22"/>
          <w:lang w:val="sr-Cyrl-RS" w:eastAsia="en-US"/>
        </w:rPr>
        <w:t>вид у пројектну документацију</w:t>
      </w:r>
    </w:p>
    <w:p w:rsidR="0015512F" w:rsidRPr="0015512F" w:rsidRDefault="00182F86" w:rsidP="0015512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Обилазак локације</w:t>
      </w:r>
      <w:r w:rsidRPr="00182F86">
        <w:rPr>
          <w:rFonts w:ascii="Arial" w:eastAsia="Arial" w:hAnsi="Arial"/>
          <w:color w:val="000000"/>
        </w:rPr>
        <w:t xml:space="preserve"> </w:t>
      </w:r>
      <w:r w:rsidRPr="00182F86">
        <w:rPr>
          <w:rFonts w:ascii="Arial" w:hAnsi="Arial" w:cs="Arial"/>
          <w:sz w:val="22"/>
          <w:szCs w:val="22"/>
          <w:lang w:val="sr-Cyrl-RS" w:eastAsia="en-US"/>
        </w:rPr>
        <w:t>депоније пепела и шљаке ТЕНТ 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и у</w:t>
      </w:r>
      <w:r w:rsidR="0015512F" w:rsidRPr="00182F86">
        <w:rPr>
          <w:rFonts w:ascii="Arial" w:hAnsi="Arial" w:cs="Arial"/>
          <w:sz w:val="22"/>
          <w:szCs w:val="22"/>
          <w:lang w:val="sr-Cyrl-RS" w:eastAsia="en-US"/>
        </w:rPr>
        <w:t>вид</w:t>
      </w:r>
      <w:r w:rsidR="0015512F" w:rsidRPr="0015512F">
        <w:rPr>
          <w:rFonts w:ascii="Arial" w:hAnsi="Arial" w:cs="Arial"/>
          <w:sz w:val="22"/>
          <w:szCs w:val="22"/>
          <w:lang w:val="en-US" w:eastAsia="en-US"/>
        </w:rPr>
        <w:t xml:space="preserve"> у пројектну документацију</w:t>
      </w:r>
      <w:r>
        <w:rPr>
          <w:rFonts w:ascii="Arial" w:hAnsi="Arial" w:cs="Arial"/>
          <w:sz w:val="22"/>
          <w:szCs w:val="22"/>
          <w:lang w:val="sr-Cyrl-RS" w:eastAsia="en-US"/>
        </w:rPr>
        <w:t>,</w:t>
      </w:r>
      <w:r w:rsidR="0015512F" w:rsidRPr="0015512F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5512F">
        <w:rPr>
          <w:rFonts w:ascii="Arial" w:hAnsi="Arial" w:cs="Arial"/>
          <w:sz w:val="22"/>
          <w:szCs w:val="22"/>
          <w:lang w:val="sr-Cyrl-RS" w:eastAsia="en-US"/>
        </w:rPr>
        <w:t xml:space="preserve">заинтересована лица </w:t>
      </w:r>
      <w:r w:rsidR="0015512F" w:rsidRPr="0015512F">
        <w:rPr>
          <w:rFonts w:ascii="Arial" w:hAnsi="Arial" w:cs="Arial"/>
          <w:sz w:val="22"/>
          <w:szCs w:val="22"/>
          <w:lang w:val="en-US" w:eastAsia="en-US"/>
        </w:rPr>
        <w:t>мо</w:t>
      </w:r>
      <w:r w:rsidR="0015512F">
        <w:rPr>
          <w:rFonts w:ascii="Arial" w:hAnsi="Arial" w:cs="Arial"/>
          <w:sz w:val="22"/>
          <w:szCs w:val="22"/>
          <w:lang w:val="sr-Cyrl-RS" w:eastAsia="en-US"/>
        </w:rPr>
        <w:t>гу</w:t>
      </w:r>
      <w:r w:rsidR="0015512F" w:rsidRPr="0015512F">
        <w:rPr>
          <w:rFonts w:ascii="Arial" w:hAnsi="Arial" w:cs="Arial"/>
          <w:sz w:val="22"/>
          <w:szCs w:val="22"/>
          <w:lang w:val="en-US" w:eastAsia="en-US"/>
        </w:rPr>
        <w:t xml:space="preserve"> обавити пре истека рока за подношење понуда на сопствени захтев, у термину који електронском поштом договоре директно са надлежним инжењерима</w:t>
      </w:r>
      <w:r w:rsidR="0015512F">
        <w:rPr>
          <w:rFonts w:ascii="Arial" w:hAnsi="Arial" w:cs="Arial"/>
          <w:sz w:val="22"/>
          <w:szCs w:val="22"/>
          <w:lang w:val="en-US" w:eastAsia="en-US"/>
        </w:rPr>
        <w:t>, Драган</w:t>
      </w:r>
      <w:r w:rsidR="0015512F">
        <w:rPr>
          <w:rFonts w:ascii="Arial" w:hAnsi="Arial" w:cs="Arial"/>
          <w:sz w:val="22"/>
          <w:szCs w:val="22"/>
          <w:lang w:val="sr-Cyrl-RS" w:eastAsia="en-US"/>
        </w:rPr>
        <w:t>ом</w:t>
      </w:r>
      <w:r w:rsidR="0015512F">
        <w:rPr>
          <w:rFonts w:ascii="Arial" w:hAnsi="Arial" w:cs="Arial"/>
          <w:sz w:val="22"/>
          <w:szCs w:val="22"/>
          <w:lang w:val="en-US" w:eastAsia="en-US"/>
        </w:rPr>
        <w:t xml:space="preserve"> Чамагић</w:t>
      </w:r>
      <w:r w:rsidR="0015512F">
        <w:rPr>
          <w:rFonts w:ascii="Arial" w:hAnsi="Arial" w:cs="Arial"/>
          <w:sz w:val="22"/>
          <w:szCs w:val="22"/>
          <w:lang w:val="sr-Cyrl-RS" w:eastAsia="en-US"/>
        </w:rPr>
        <w:t>ем</w:t>
      </w:r>
      <w:r w:rsidR="0015512F">
        <w:rPr>
          <w:rFonts w:ascii="Arial" w:hAnsi="Arial" w:cs="Arial"/>
          <w:sz w:val="22"/>
          <w:szCs w:val="22"/>
          <w:lang w:val="en-US" w:eastAsia="en-US"/>
        </w:rPr>
        <w:t xml:space="preserve"> и</w:t>
      </w:r>
      <w:r w:rsidR="00125861">
        <w:rPr>
          <w:rFonts w:ascii="Arial" w:hAnsi="Arial" w:cs="Arial"/>
          <w:sz w:val="22"/>
          <w:szCs w:val="22"/>
          <w:lang w:val="sr-Cyrl-RS" w:eastAsia="en-US"/>
        </w:rPr>
        <w:t>ли</w:t>
      </w:r>
      <w:r w:rsidR="0015512F">
        <w:rPr>
          <w:rFonts w:ascii="Arial" w:hAnsi="Arial" w:cs="Arial"/>
          <w:sz w:val="22"/>
          <w:szCs w:val="22"/>
          <w:lang w:val="en-US" w:eastAsia="en-US"/>
        </w:rPr>
        <w:t xml:space="preserve"> Дејан</w:t>
      </w:r>
      <w:r w:rsidR="0015512F">
        <w:rPr>
          <w:rFonts w:ascii="Arial" w:hAnsi="Arial" w:cs="Arial"/>
          <w:sz w:val="22"/>
          <w:szCs w:val="22"/>
          <w:lang w:val="sr-Cyrl-RS" w:eastAsia="en-US"/>
        </w:rPr>
        <w:t>ом</w:t>
      </w:r>
      <w:r w:rsidR="0015512F">
        <w:rPr>
          <w:rFonts w:ascii="Arial" w:hAnsi="Arial" w:cs="Arial"/>
          <w:sz w:val="22"/>
          <w:szCs w:val="22"/>
          <w:lang w:val="en-US" w:eastAsia="en-US"/>
        </w:rPr>
        <w:t xml:space="preserve"> Станковић</w:t>
      </w:r>
      <w:r w:rsidR="0015512F">
        <w:rPr>
          <w:rFonts w:ascii="Arial" w:hAnsi="Arial" w:cs="Arial"/>
          <w:sz w:val="22"/>
          <w:szCs w:val="22"/>
          <w:lang w:val="sr-Cyrl-RS" w:eastAsia="en-US"/>
        </w:rPr>
        <w:t>ем</w:t>
      </w:r>
      <w:r w:rsidR="0015512F">
        <w:rPr>
          <w:rFonts w:ascii="Arial" w:hAnsi="Arial" w:cs="Arial"/>
          <w:sz w:val="22"/>
          <w:szCs w:val="22"/>
          <w:lang w:val="en-US" w:eastAsia="en-US"/>
        </w:rPr>
        <w:t>,</w:t>
      </w:r>
      <w:r w:rsidR="0015512F" w:rsidRPr="0015512F">
        <w:rPr>
          <w:rFonts w:ascii="Arial" w:hAnsi="Arial" w:cs="Arial"/>
          <w:sz w:val="22"/>
          <w:szCs w:val="22"/>
          <w:lang w:val="en-US" w:eastAsia="en-US"/>
        </w:rPr>
        <w:t xml:space="preserve"> е-маил</w:t>
      </w:r>
      <w:r w:rsidR="0015512F" w:rsidRPr="0015512F">
        <w:rPr>
          <w:rFonts w:ascii="Arial" w:hAnsi="Arial" w:cs="Arial"/>
          <w:sz w:val="22"/>
          <w:szCs w:val="22"/>
          <w:lang w:val="sr-Cyrl-RS" w:eastAsia="en-US"/>
        </w:rPr>
        <w:t xml:space="preserve"> адресе</w:t>
      </w:r>
      <w:r w:rsidR="0015512F" w:rsidRPr="0015512F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hyperlink r:id="rId7" w:history="1">
        <w:r w:rsidR="0015512F" w:rsidRPr="00041D65">
          <w:rPr>
            <w:rStyle w:val="Hyperlink"/>
            <w:rFonts w:ascii="Arial" w:hAnsi="Arial" w:cs="Arial"/>
            <w:sz w:val="22"/>
            <w:szCs w:val="22"/>
            <w:lang w:val="en-GB" w:eastAsia="en-US"/>
          </w:rPr>
          <w:t>dragan.camagic@eps.rs</w:t>
        </w:r>
      </w:hyperlink>
      <w:r w:rsidR="0015512F">
        <w:rPr>
          <w:rFonts w:ascii="Arial" w:hAnsi="Arial" w:cs="Arial"/>
          <w:sz w:val="22"/>
          <w:szCs w:val="22"/>
          <w:lang w:val="en-GB" w:eastAsia="en-US"/>
        </w:rPr>
        <w:t xml:space="preserve"> и </w:t>
      </w:r>
      <w:hyperlink r:id="rId8" w:history="1">
        <w:r w:rsidR="0015512F" w:rsidRPr="00041D65">
          <w:rPr>
            <w:rStyle w:val="Hyperlink"/>
            <w:rFonts w:ascii="Arial" w:hAnsi="Arial" w:cs="Arial"/>
            <w:sz w:val="22"/>
            <w:szCs w:val="22"/>
            <w:lang w:val="en-GB" w:eastAsia="en-US"/>
          </w:rPr>
          <w:t>dejan.stankovic@eps.rs</w:t>
        </w:r>
      </w:hyperlink>
      <w:r w:rsidR="0015512F">
        <w:rPr>
          <w:rFonts w:ascii="Arial" w:hAnsi="Arial" w:cs="Arial"/>
          <w:sz w:val="22"/>
          <w:szCs w:val="22"/>
          <w:lang w:val="sr-Cyrl-RS" w:eastAsia="en-US"/>
        </w:rPr>
        <w:t>.</w:t>
      </w:r>
      <w:r w:rsidR="0015512F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="0015512F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15512F" w:rsidRPr="0015512F" w:rsidRDefault="0015512F" w:rsidP="0015512F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  <w:r w:rsidRPr="0015512F">
        <w:rPr>
          <w:rFonts w:ascii="Arial" w:eastAsia="Calibri" w:hAnsi="Arial" w:cs="Arial"/>
          <w:sz w:val="22"/>
          <w:szCs w:val="22"/>
          <w:lang w:val="en-US" w:eastAsia="en-US"/>
        </w:rPr>
        <w:t xml:space="preserve">Препоручени рок </w:t>
      </w:r>
      <w:r w:rsidR="00182F86">
        <w:rPr>
          <w:rFonts w:ascii="Arial" w:eastAsia="Calibri" w:hAnsi="Arial" w:cs="Arial"/>
          <w:sz w:val="22"/>
          <w:szCs w:val="22"/>
          <w:lang w:val="sr-Cyrl-RS" w:eastAsia="en-US"/>
        </w:rPr>
        <w:t xml:space="preserve">обилазак локације и </w:t>
      </w:r>
      <w:r w:rsidR="00125861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15512F">
        <w:rPr>
          <w:rFonts w:ascii="Arial" w:hAnsi="Arial" w:cs="Arial"/>
          <w:sz w:val="22"/>
          <w:szCs w:val="22"/>
          <w:lang w:val="en-US" w:eastAsia="en-US"/>
        </w:rPr>
        <w:t>вид у пројектну документацију</w:t>
      </w:r>
      <w:r w:rsidR="00182F86">
        <w:rPr>
          <w:rFonts w:ascii="Arial" w:hAnsi="Arial" w:cs="Arial"/>
          <w:sz w:val="22"/>
          <w:szCs w:val="22"/>
          <w:lang w:val="sr-Cyrl-RS" w:eastAsia="en-US"/>
        </w:rPr>
        <w:t>: за</w:t>
      </w:r>
      <w:r w:rsidRPr="0015512F">
        <w:rPr>
          <w:rFonts w:ascii="Arial" w:eastAsia="Calibri" w:hAnsi="Arial" w:cs="Arial"/>
          <w:sz w:val="22"/>
          <w:szCs w:val="22"/>
          <w:lang w:val="en-US" w:eastAsia="en-US"/>
        </w:rPr>
        <w:t xml:space="preserve">интересована лица </w:t>
      </w:r>
      <w:r w:rsidR="00182F86">
        <w:rPr>
          <w:rFonts w:ascii="Arial" w:eastAsia="Calibri" w:hAnsi="Arial" w:cs="Arial"/>
          <w:sz w:val="22"/>
          <w:szCs w:val="22"/>
          <w:lang w:val="sr-Cyrl-RS" w:eastAsia="en-US"/>
        </w:rPr>
        <w:t xml:space="preserve">обилазак локације и </w:t>
      </w:r>
      <w:r>
        <w:rPr>
          <w:rFonts w:ascii="Arial" w:hAnsi="Arial" w:cs="Arial"/>
          <w:sz w:val="22"/>
          <w:szCs w:val="22"/>
          <w:lang w:val="sr-Cyrl-RS" w:eastAsia="en-US"/>
        </w:rPr>
        <w:t>у</w:t>
      </w:r>
      <w:r w:rsidRPr="0015512F">
        <w:rPr>
          <w:rFonts w:ascii="Arial" w:hAnsi="Arial" w:cs="Arial"/>
          <w:sz w:val="22"/>
          <w:szCs w:val="22"/>
          <w:lang w:val="en-US" w:eastAsia="en-US"/>
        </w:rPr>
        <w:t xml:space="preserve">вид у пројектну документацију </w:t>
      </w:r>
      <w:r w:rsidRPr="0015512F">
        <w:rPr>
          <w:rFonts w:ascii="Arial" w:eastAsia="Calibri" w:hAnsi="Arial" w:cs="Arial"/>
          <w:sz w:val="22"/>
          <w:szCs w:val="22"/>
          <w:lang w:val="en-US" w:eastAsia="en-US"/>
        </w:rPr>
        <w:t xml:space="preserve">могу обавити до истека рока за подношење понуде, али је пожељно да </w:t>
      </w:r>
      <w:r w:rsidR="00125861">
        <w:rPr>
          <w:rFonts w:ascii="Arial" w:eastAsia="Calibri" w:hAnsi="Arial" w:cs="Arial"/>
          <w:sz w:val="22"/>
          <w:szCs w:val="22"/>
          <w:lang w:val="sr-Cyrl-RS" w:eastAsia="en-US"/>
        </w:rPr>
        <w:t xml:space="preserve">исту </w:t>
      </w:r>
      <w:r w:rsidRPr="0015512F">
        <w:rPr>
          <w:rFonts w:ascii="Arial" w:eastAsia="Calibri" w:hAnsi="Arial" w:cs="Arial"/>
          <w:sz w:val="22"/>
          <w:szCs w:val="22"/>
          <w:lang w:val="en-US" w:eastAsia="en-US"/>
        </w:rPr>
        <w:t>обаве најкасније пет дана пре истека рока за подношење понуде, како би искористили законску могућност тражења додатних информација или појашњења у вези са припремањем понуде у законском року (члан 63 ЗЈН)</w:t>
      </w:r>
      <w:r w:rsidRPr="0015512F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C3940" w:rsidRDefault="00CC3940" w:rsidP="00CC394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тачка 5.  делу 4.2 Додатни условиза учешће у поступку јавне набавке из члана 76. Закона на страни 34/11 конкурсне документације и сада гласи:</w:t>
      </w:r>
    </w:p>
    <w:p w:rsidR="00CC3940" w:rsidRDefault="00CC3940" w:rsidP="00CC39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C3940" w:rsidRDefault="00CC3940" w:rsidP="00CC39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C3940" w:rsidRPr="00CC3940" w:rsidTr="00DC1475">
        <w:trPr>
          <w:jc w:val="center"/>
        </w:trPr>
        <w:tc>
          <w:tcPr>
            <w:tcW w:w="729" w:type="dxa"/>
            <w:vAlign w:val="center"/>
          </w:tcPr>
          <w:p w:rsidR="00CC3940" w:rsidRPr="0063447C" w:rsidRDefault="00CC3940" w:rsidP="00CC394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3447C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63447C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CC3940" w:rsidRPr="0063447C" w:rsidRDefault="00CC3940" w:rsidP="00CC394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63447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CC3940" w:rsidRPr="0063447C" w:rsidRDefault="00CC3940" w:rsidP="00CC394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CC3940" w:rsidRPr="0063447C" w:rsidRDefault="00CC3940" w:rsidP="00CC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63447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минималним</w:t>
            </w: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63447C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CC3940" w:rsidRPr="0063447C" w:rsidRDefault="00CC3940" w:rsidP="00CC3940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-је у </w:t>
            </w:r>
            <w:r w:rsidRPr="0063447C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</w:t>
            </w:r>
            <w:r w:rsidR="006344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</w:t>
            </w:r>
            <w:r w:rsidRPr="0063447C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="006344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пет</w:t>
            </w:r>
            <w:r w:rsidRPr="0063447C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година (</w:t>
            </w:r>
            <w:r w:rsidR="006344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2014, 2015, </w:t>
            </w:r>
            <w:r w:rsidRPr="0063447C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2016, 2017 и 2018)  извео радове из области хидротехнике на депонијама пепела и шљаке</w:t>
            </w:r>
            <w:r w:rsidRPr="006344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,</w:t>
            </w:r>
            <w:r w:rsidRPr="0063447C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 </w:t>
            </w:r>
            <w:r w:rsidRPr="0063447C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минималне укупне вредности од 80.000.000,00 динара без ПДВ, </w:t>
            </w:r>
            <w:r w:rsidRPr="0063447C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у уговореном року, обиму и квалитету, и да у гарантном року, до дана издавања потврде о референтним набавкама, није било рекламација на исте.</w:t>
            </w:r>
          </w:p>
          <w:p w:rsidR="00CC3940" w:rsidRPr="0063447C" w:rsidRDefault="00CC3940" w:rsidP="00CC394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</w:pPr>
            <w:r w:rsidRPr="0063447C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 xml:space="preserve">Доказ: </w:t>
            </w:r>
          </w:p>
          <w:p w:rsidR="00CC3940" w:rsidRPr="0063447C" w:rsidRDefault="00CC3940" w:rsidP="00CC39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447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 Референтна листа</w:t>
            </w:r>
            <w:r w:rsidRPr="0063447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- Списак изведених радова (образац бр. 6)</w:t>
            </w:r>
          </w:p>
          <w:p w:rsidR="00CC3940" w:rsidRPr="0063447C" w:rsidRDefault="00CC3940" w:rsidP="00CC394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63447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Потписане и оверене потврде </w:t>
            </w:r>
            <w:r w:rsidRPr="0063447C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 xml:space="preserve">наручилаца </w:t>
            </w:r>
            <w:r w:rsidRPr="0063447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(образац бр. 7)</w:t>
            </w:r>
          </w:p>
          <w:p w:rsidR="00CC3940" w:rsidRPr="0063447C" w:rsidRDefault="00CC3940" w:rsidP="00CC3940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3447C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CC3940" w:rsidRPr="0063447C" w:rsidRDefault="00CC3940" w:rsidP="00CC3940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</w:t>
            </w:r>
            <w:r w:rsidRPr="0063447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доказ</w:t>
            </w:r>
            <w:r w:rsidRPr="0063447C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е</w:t>
            </w:r>
            <w:r w:rsidRPr="0063447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доставити за оног </w:t>
            </w:r>
            <w:r w:rsidRPr="0063447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lastRenderedPageBreak/>
              <w:t xml:space="preserve">члана групе који испуњава тражени услов (довољно је да 1 члан групе достави </w:t>
            </w:r>
            <w:r w:rsidRPr="0063447C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доказе</w:t>
            </w:r>
            <w:r w:rsidRPr="0063447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</w:t>
            </w:r>
            <w:r w:rsidRPr="0063447C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, наведене доказе</w:t>
            </w: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CC3940" w:rsidRPr="0063447C" w:rsidRDefault="00CC3940" w:rsidP="00CC3940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3447C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C3940" w:rsidRPr="00CC3940" w:rsidRDefault="00CC3940" w:rsidP="00CC394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C3940" w:rsidRDefault="00CC3940" w:rsidP="00AA51DA">
      <w:pPr>
        <w:jc w:val="center"/>
        <w:rPr>
          <w:rFonts w:ascii="Arial" w:hAnsi="Arial" w:cs="Arial"/>
          <w:sz w:val="22"/>
          <w:szCs w:val="22"/>
        </w:rPr>
      </w:pPr>
    </w:p>
    <w:p w:rsidR="00CC3940" w:rsidRPr="00CC3940" w:rsidRDefault="00CC394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CC3940">
        <w:rPr>
          <w:rFonts w:ascii="Arial" w:hAnsi="Arial" w:cs="Arial"/>
          <w:sz w:val="22"/>
          <w:szCs w:val="22"/>
          <w:lang w:val="sr-Cyrl-RS"/>
        </w:rPr>
        <w:t xml:space="preserve">/допуна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8F" w:rsidRDefault="00F4568F" w:rsidP="00F717AF">
      <w:r>
        <w:separator/>
      </w:r>
    </w:p>
  </w:endnote>
  <w:endnote w:type="continuationSeparator" w:id="0">
    <w:p w:rsidR="00F4568F" w:rsidRDefault="00F4568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11" w:rsidRPr="00186811" w:rsidRDefault="00C6690C" w:rsidP="00186811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186811">
      <w:rPr>
        <w:rFonts w:ascii="Arial" w:hAnsi="Arial" w:cs="Arial"/>
        <w:sz w:val="18"/>
        <w:szCs w:val="18"/>
      </w:rPr>
      <w:t xml:space="preserve">ЈН  број </w:t>
    </w:r>
    <w:r w:rsidR="00186811" w:rsidRPr="00186811">
      <w:rPr>
        <w:rFonts w:ascii="Arial" w:hAnsi="Arial" w:cs="Arial"/>
        <w:sz w:val="18"/>
        <w:szCs w:val="18"/>
      </w:rPr>
      <w:t>3000/1692/2018</w:t>
    </w:r>
    <w:r w:rsidR="00186811" w:rsidRPr="00186811">
      <w:rPr>
        <w:rFonts w:ascii="Arial" w:hAnsi="Arial" w:cs="Arial"/>
        <w:sz w:val="18"/>
        <w:szCs w:val="18"/>
        <w:lang w:val="en-GB"/>
      </w:rPr>
      <w:t xml:space="preserve"> </w:t>
    </w:r>
    <w:r w:rsidR="00186811" w:rsidRPr="00186811">
      <w:rPr>
        <w:rFonts w:ascii="Arial" w:hAnsi="Arial" w:cs="Arial"/>
        <w:sz w:val="18"/>
        <w:szCs w:val="18"/>
      </w:rPr>
      <w:t>(2157/</w:t>
    </w:r>
    <w:r w:rsidR="00186811" w:rsidRPr="00186811">
      <w:rPr>
        <w:rFonts w:ascii="Arial" w:eastAsia="Calibri" w:hAnsi="Arial" w:cs="Arial"/>
        <w:iCs/>
        <w:sz w:val="18"/>
        <w:szCs w:val="18"/>
        <w:lang w:val="ru-RU"/>
      </w:rPr>
      <w:t xml:space="preserve">2018)  </w:t>
    </w:r>
    <w:r w:rsidR="00182F86">
      <w:rPr>
        <w:rFonts w:ascii="Arial" w:hAnsi="Arial" w:cs="Arial"/>
        <w:sz w:val="18"/>
        <w:szCs w:val="18"/>
        <w:lang w:val="sr-Cyrl-RS"/>
      </w:rPr>
      <w:t>Друга</w:t>
    </w:r>
    <w:r w:rsidR="00186811" w:rsidRPr="00186811">
      <w:rPr>
        <w:rFonts w:ascii="Arial" w:hAnsi="Arial" w:cs="Arial"/>
        <w:sz w:val="18"/>
        <w:szCs w:val="18"/>
      </w:rPr>
      <w:t xml:space="preserve"> измена конкурсне документације                   стр.  </w:t>
    </w:r>
    <w:r w:rsidR="00186811" w:rsidRPr="00186811">
      <w:rPr>
        <w:rFonts w:ascii="Arial" w:hAnsi="Arial" w:cs="Arial"/>
        <w:sz w:val="18"/>
        <w:szCs w:val="18"/>
      </w:rPr>
      <w:fldChar w:fldCharType="begin"/>
    </w:r>
    <w:r w:rsidR="00186811" w:rsidRPr="00186811">
      <w:rPr>
        <w:rFonts w:ascii="Arial" w:hAnsi="Arial" w:cs="Arial"/>
        <w:sz w:val="18"/>
        <w:szCs w:val="18"/>
      </w:rPr>
      <w:instrText xml:space="preserve"> PAGE </w:instrText>
    </w:r>
    <w:r w:rsidR="00186811" w:rsidRPr="00186811">
      <w:rPr>
        <w:rFonts w:ascii="Arial" w:hAnsi="Arial" w:cs="Arial"/>
        <w:sz w:val="18"/>
        <w:szCs w:val="18"/>
      </w:rPr>
      <w:fldChar w:fldCharType="separate"/>
    </w:r>
    <w:r w:rsidR="00A215F1">
      <w:rPr>
        <w:rFonts w:ascii="Arial" w:hAnsi="Arial" w:cs="Arial"/>
        <w:noProof/>
        <w:sz w:val="18"/>
        <w:szCs w:val="18"/>
      </w:rPr>
      <w:t>1</w:t>
    </w:r>
    <w:r w:rsidR="00186811" w:rsidRPr="00186811">
      <w:rPr>
        <w:rFonts w:ascii="Arial" w:hAnsi="Arial" w:cs="Arial"/>
        <w:sz w:val="18"/>
        <w:szCs w:val="18"/>
      </w:rPr>
      <w:fldChar w:fldCharType="end"/>
    </w:r>
    <w:r w:rsidR="00186811" w:rsidRPr="00186811">
      <w:rPr>
        <w:rFonts w:ascii="Arial" w:hAnsi="Arial" w:cs="Arial"/>
        <w:sz w:val="18"/>
        <w:szCs w:val="18"/>
      </w:rPr>
      <w:t>/</w:t>
    </w:r>
    <w:r w:rsidR="00186811" w:rsidRPr="00186811">
      <w:rPr>
        <w:rFonts w:ascii="Arial" w:hAnsi="Arial" w:cs="Arial"/>
        <w:sz w:val="18"/>
        <w:szCs w:val="18"/>
      </w:rPr>
      <w:fldChar w:fldCharType="begin"/>
    </w:r>
    <w:r w:rsidR="00186811" w:rsidRPr="00186811">
      <w:rPr>
        <w:rFonts w:ascii="Arial" w:hAnsi="Arial" w:cs="Arial"/>
        <w:sz w:val="18"/>
        <w:szCs w:val="18"/>
      </w:rPr>
      <w:instrText xml:space="preserve"> NUMPAGES </w:instrText>
    </w:r>
    <w:r w:rsidR="00186811" w:rsidRPr="00186811">
      <w:rPr>
        <w:rFonts w:ascii="Arial" w:hAnsi="Arial" w:cs="Arial"/>
        <w:sz w:val="18"/>
        <w:szCs w:val="18"/>
      </w:rPr>
      <w:fldChar w:fldCharType="separate"/>
    </w:r>
    <w:r w:rsidR="00A215F1">
      <w:rPr>
        <w:rFonts w:ascii="Arial" w:hAnsi="Arial" w:cs="Arial"/>
        <w:noProof/>
        <w:sz w:val="18"/>
        <w:szCs w:val="18"/>
      </w:rPr>
      <w:t>3</w:t>
    </w:r>
    <w:r w:rsidR="00186811" w:rsidRPr="00186811">
      <w:rPr>
        <w:rFonts w:ascii="Arial" w:hAnsi="Arial" w:cs="Arial"/>
        <w:sz w:val="18"/>
        <w:szCs w:val="18"/>
      </w:rPr>
      <w:fldChar w:fldCharType="end"/>
    </w:r>
  </w:p>
  <w:p w:rsidR="00186811" w:rsidRPr="00186811" w:rsidRDefault="00186811" w:rsidP="00186811">
    <w:pPr>
      <w:pStyle w:val="Footer"/>
      <w:jc w:val="both"/>
      <w:rPr>
        <w:sz w:val="20"/>
      </w:rPr>
    </w:pPr>
    <w:r>
      <w:rPr>
        <w:rFonts w:ascii="Arial" w:eastAsia="Calibri" w:hAnsi="Arial" w:cs="Arial"/>
        <w:iCs/>
        <w:sz w:val="18"/>
        <w:szCs w:val="18"/>
        <w:lang w:val="ru-RU"/>
      </w:rPr>
      <w:t xml:space="preserve">                                                              </w:t>
    </w:r>
  </w:p>
  <w:p w:rsidR="00C6690C" w:rsidRPr="00186811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sz w:val="18"/>
        <w:szCs w:val="18"/>
      </w:rPr>
    </w:pPr>
    <w:r w:rsidRPr="00186811">
      <w:rPr>
        <w:rFonts w:ascii="Arial" w:hAnsi="Arial" w:cs="Arial"/>
        <w:sz w:val="18"/>
        <w:szCs w:val="18"/>
      </w:rPr>
      <w:t xml:space="preserve">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8F" w:rsidRDefault="00F4568F" w:rsidP="00F717AF">
      <w:r>
        <w:separator/>
      </w:r>
    </w:p>
  </w:footnote>
  <w:footnote w:type="continuationSeparator" w:id="0">
    <w:p w:rsidR="00F4568F" w:rsidRDefault="00F4568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4568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215F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215F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861"/>
    <w:rsid w:val="00131E3C"/>
    <w:rsid w:val="001376CE"/>
    <w:rsid w:val="00140941"/>
    <w:rsid w:val="0014187F"/>
    <w:rsid w:val="00141E0D"/>
    <w:rsid w:val="001432F2"/>
    <w:rsid w:val="00146ECB"/>
    <w:rsid w:val="001517C4"/>
    <w:rsid w:val="0015512F"/>
    <w:rsid w:val="00164983"/>
    <w:rsid w:val="00175264"/>
    <w:rsid w:val="0017797D"/>
    <w:rsid w:val="00177B39"/>
    <w:rsid w:val="001801FB"/>
    <w:rsid w:val="001804F4"/>
    <w:rsid w:val="00181AB7"/>
    <w:rsid w:val="00182F86"/>
    <w:rsid w:val="001831D6"/>
    <w:rsid w:val="0018681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E7BE9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366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0AA4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447C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1E1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15F1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205F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A75B0"/>
    <w:rsid w:val="00CB053F"/>
    <w:rsid w:val="00CB7876"/>
    <w:rsid w:val="00CB78DF"/>
    <w:rsid w:val="00CC3940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568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400B0D"/>
  <w15:docId w15:val="{94E93745-00CA-4BE5-B23B-62193ED4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jan.stankovic@ep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agan.camagic@eps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31</cp:revision>
  <cp:lastPrinted>2014-12-19T09:46:00Z</cp:lastPrinted>
  <dcterms:created xsi:type="dcterms:W3CDTF">2015-07-01T14:16:00Z</dcterms:created>
  <dcterms:modified xsi:type="dcterms:W3CDTF">2019-01-17T07:17:00Z</dcterms:modified>
</cp:coreProperties>
</file>