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F3337B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D03FA2">
        <w:rPr>
          <w:rFonts w:ascii="Arial" w:hAnsi="Arial" w:cs="Arial"/>
          <w:sz w:val="22"/>
          <w:szCs w:val="22"/>
        </w:rPr>
        <w:t>31151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F3337B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F3337B">
        <w:rPr>
          <w:rFonts w:ascii="Arial" w:hAnsi="Arial" w:cs="Arial"/>
          <w:sz w:val="22"/>
          <w:szCs w:val="22"/>
        </w:rPr>
        <w:t xml:space="preserve"> </w:t>
      </w:r>
      <w:r w:rsidR="00F3337B">
        <w:rPr>
          <w:rFonts w:ascii="Arial" w:hAnsi="Arial" w:cs="Arial"/>
          <w:sz w:val="22"/>
          <w:szCs w:val="22"/>
          <w:lang w:val="sr-Cyrl-RS"/>
        </w:rPr>
        <w:t>од 17.04.2019.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1E10BF" w:rsidRDefault="00AF758A" w:rsidP="00D73E80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 w:rsidRPr="001E10BF"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Default="00AF758A" w:rsidP="00D03FA2">
      <w:pPr>
        <w:jc w:val="center"/>
        <w:rPr>
          <w:rFonts w:ascii="Arial" w:eastAsia="Arial" w:hAnsi="Arial" w:cs="Arial"/>
          <w:b/>
          <w:color w:val="000000"/>
          <w:sz w:val="22"/>
          <w:lang w:val="sr-Cyrl-RS"/>
        </w:rPr>
      </w:pPr>
      <w:r w:rsidRPr="00D03FA2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D03FA2">
        <w:rPr>
          <w:rFonts w:ascii="Arial" w:hAnsi="Arial" w:cs="Arial"/>
          <w:b/>
          <w:lang w:val="ru-RU"/>
        </w:rPr>
        <w:t xml:space="preserve"> </w:t>
      </w:r>
      <w:r w:rsidR="00D03FA2" w:rsidRPr="00D03FA2">
        <w:rPr>
          <w:rFonts w:ascii="Arial" w:eastAsia="Arial" w:hAnsi="Arial" w:cs="Arial"/>
          <w:b/>
          <w:color w:val="000000"/>
          <w:sz w:val="22"/>
        </w:rPr>
        <w:t>2588</w:t>
      </w:r>
      <w:r w:rsidR="00D03FA2" w:rsidRPr="00D03FA2">
        <w:rPr>
          <w:rFonts w:ascii="Arial" w:eastAsia="Arial" w:hAnsi="Arial" w:cs="Arial"/>
          <w:b/>
          <w:color w:val="000000"/>
          <w:sz w:val="22"/>
          <w:lang w:val="sr-Cyrl-RS"/>
        </w:rPr>
        <w:t>/2018 (3000/</w:t>
      </w:r>
      <w:r w:rsidR="00D03FA2" w:rsidRPr="00D03FA2">
        <w:rPr>
          <w:rFonts w:ascii="Arial" w:eastAsia="Arial" w:hAnsi="Arial" w:cs="Arial"/>
          <w:b/>
          <w:color w:val="000000"/>
          <w:sz w:val="22"/>
        </w:rPr>
        <w:t>0468/</w:t>
      </w:r>
      <w:r w:rsidR="00D03FA2" w:rsidRPr="00D03FA2">
        <w:rPr>
          <w:rFonts w:ascii="Arial" w:eastAsia="Arial" w:hAnsi="Arial" w:cs="Arial"/>
          <w:b/>
          <w:color w:val="000000"/>
          <w:sz w:val="22"/>
          <w:lang w:val="sr-Cyrl-RS"/>
        </w:rPr>
        <w:t>2018)</w:t>
      </w:r>
      <w:r w:rsidR="001E10BF" w:rsidRPr="00D03FA2">
        <w:rPr>
          <w:rFonts w:ascii="Arial" w:hAnsi="Arial" w:cs="Arial"/>
          <w:b/>
          <w:sz w:val="22"/>
          <w:szCs w:val="22"/>
        </w:rPr>
        <w:t xml:space="preserve"> </w:t>
      </w:r>
      <w:r w:rsidR="00865869" w:rsidRPr="00D03FA2">
        <w:rPr>
          <w:rFonts w:ascii="Arial" w:eastAsia="Arial" w:hAnsi="Arial" w:cs="Arial"/>
          <w:b/>
          <w:color w:val="000000"/>
          <w:sz w:val="22"/>
        </w:rPr>
        <w:t xml:space="preserve"> – </w:t>
      </w:r>
      <w:r w:rsidR="001E10BF" w:rsidRPr="00D03FA2">
        <w:rPr>
          <w:rFonts w:ascii="Arial" w:eastAsia="Arial" w:hAnsi="Arial" w:cs="Arial"/>
          <w:b/>
          <w:color w:val="000000"/>
          <w:sz w:val="22"/>
        </w:rPr>
        <w:t xml:space="preserve">Партија 1. </w:t>
      </w:r>
      <w:r w:rsidR="00D03FA2" w:rsidRPr="00D03FA2">
        <w:rPr>
          <w:rFonts w:ascii="Arial" w:eastAsia="Arial" w:hAnsi="Arial" w:cs="Arial"/>
          <w:b/>
          <w:color w:val="000000"/>
          <w:sz w:val="22"/>
        </w:rPr>
        <w:t xml:space="preserve">Подводне бунарске пумпе на депонији пепела и ХПВ бунари, дренажне пумпе багер станица и друге пумпе </w:t>
      </w:r>
      <w:r w:rsidR="00D03FA2">
        <w:rPr>
          <w:rFonts w:ascii="Arial" w:eastAsia="Arial" w:hAnsi="Arial" w:cs="Arial"/>
          <w:b/>
          <w:color w:val="000000"/>
          <w:sz w:val="22"/>
        </w:rPr>
        <w:t>–</w:t>
      </w:r>
      <w:r w:rsidR="00D03FA2" w:rsidRPr="00D03FA2">
        <w:rPr>
          <w:rFonts w:ascii="Arial" w:eastAsia="Arial" w:hAnsi="Arial" w:cs="Arial"/>
          <w:b/>
          <w:color w:val="000000"/>
          <w:sz w:val="22"/>
        </w:rPr>
        <w:t xml:space="preserve"> ТЕНТ</w:t>
      </w:r>
    </w:p>
    <w:p w:rsidR="00D03FA2" w:rsidRPr="00D03FA2" w:rsidRDefault="00D03FA2" w:rsidP="00D03FA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3FA2">
        <w:rPr>
          <w:rFonts w:ascii="Arial" w:hAnsi="Arial" w:cs="Arial"/>
          <w:sz w:val="22"/>
          <w:szCs w:val="22"/>
          <w:lang w:val="sr-Cyrl-RS"/>
        </w:rPr>
        <w:t>добара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865869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3FA2">
        <w:rPr>
          <w:rFonts w:ascii="Arial" w:hAnsi="Arial" w:cs="Arial"/>
          <w:sz w:val="22"/>
          <w:szCs w:val="22"/>
          <w:lang w:val="sr-Cyrl-CS"/>
        </w:rPr>
        <w:t>17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D03FA2">
        <w:rPr>
          <w:rFonts w:ascii="Arial" w:hAnsi="Arial" w:cs="Arial"/>
          <w:sz w:val="22"/>
          <w:szCs w:val="22"/>
          <w:lang w:val="sr-Cyrl-RS"/>
        </w:rPr>
        <w:t>5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Процењена вредност јавне набавке за Партију </w:t>
      </w:r>
      <w:r w:rsidR="00D73E80">
        <w:rPr>
          <w:rFonts w:ascii="Arial" w:hAnsi="Arial" w:cs="Arial"/>
          <w:b/>
          <w:sz w:val="22"/>
          <w:szCs w:val="22"/>
          <w:lang w:val="sr-Cyrl-RS"/>
        </w:rPr>
        <w:t>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3FA2">
        <w:rPr>
          <w:rFonts w:ascii="Arial" w:eastAsia="Arial" w:hAnsi="Arial" w:cs="Arial"/>
          <w:color w:val="000000"/>
          <w:sz w:val="22"/>
          <w:lang w:val="sr-Cyrl-RS"/>
        </w:rPr>
        <w:t>11</w:t>
      </w:r>
      <w:r w:rsidR="008D259C">
        <w:rPr>
          <w:rFonts w:ascii="Arial" w:eastAsia="Arial" w:hAnsi="Arial" w:cs="Arial"/>
          <w:color w:val="000000"/>
          <w:sz w:val="22"/>
        </w:rPr>
        <w:t>.</w:t>
      </w:r>
      <w:r w:rsidR="00D03FA2">
        <w:rPr>
          <w:rFonts w:ascii="Arial" w:eastAsia="Arial" w:hAnsi="Arial" w:cs="Arial"/>
          <w:color w:val="000000"/>
          <w:sz w:val="22"/>
        </w:rPr>
        <w:t>77</w:t>
      </w:r>
      <w:r>
        <w:rPr>
          <w:rFonts w:ascii="Arial" w:eastAsia="Arial" w:hAnsi="Arial" w:cs="Arial"/>
          <w:color w:val="000000"/>
          <w:sz w:val="22"/>
        </w:rPr>
        <w:t>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  <w:r w:rsidR="00D03FA2" w:rsidRPr="00D03FA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03FA2">
        <w:rPr>
          <w:rFonts w:ascii="Arial" w:hAnsi="Arial" w:cs="Arial"/>
          <w:b/>
          <w:sz w:val="22"/>
          <w:szCs w:val="22"/>
          <w:lang w:val="sr-Cyrl-CS"/>
        </w:rPr>
        <w:t xml:space="preserve">за Партију </w:t>
      </w:r>
      <w:r w:rsidR="00D03FA2">
        <w:rPr>
          <w:rFonts w:ascii="Arial" w:hAnsi="Arial" w:cs="Arial"/>
          <w:b/>
          <w:sz w:val="22"/>
          <w:szCs w:val="22"/>
          <w:lang w:val="sr-Cyrl-RS"/>
        </w:rPr>
        <w:t>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3FA2">
        <w:rPr>
          <w:rFonts w:ascii="Arial" w:hAnsi="Arial" w:cs="Arial"/>
          <w:sz w:val="22"/>
          <w:szCs w:val="22"/>
          <w:lang w:val="sr-Cyrl-RS"/>
        </w:rPr>
        <w:t>9.664.790,00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</w:t>
      </w:r>
      <w:r w:rsidR="00D03FA2">
        <w:rPr>
          <w:rFonts w:ascii="Arial" w:hAnsi="Arial" w:cs="Arial"/>
          <w:b/>
          <w:sz w:val="22"/>
          <w:szCs w:val="22"/>
          <w:lang w:val="sr-Cyrl-CS"/>
        </w:rPr>
        <w:t xml:space="preserve"> за Партију </w:t>
      </w:r>
      <w:r w:rsidR="00D03FA2">
        <w:rPr>
          <w:rFonts w:ascii="Arial" w:hAnsi="Arial" w:cs="Arial"/>
          <w:b/>
          <w:sz w:val="22"/>
          <w:szCs w:val="22"/>
          <w:lang w:val="sr-Cyrl-RS"/>
        </w:rPr>
        <w:t>1</w:t>
      </w:r>
      <w:r w:rsidRPr="00C152E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</w:t>
      </w:r>
      <w:r w:rsidR="00D03FA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D03FA2">
        <w:rPr>
          <w:rFonts w:ascii="Arial" w:hAnsi="Arial" w:cs="Arial"/>
          <w:b/>
          <w:sz w:val="22"/>
          <w:szCs w:val="22"/>
          <w:lang w:val="sr-Cyrl-CS"/>
        </w:rPr>
        <w:t xml:space="preserve">за Партију </w:t>
      </w:r>
      <w:r w:rsidR="00D03FA2">
        <w:rPr>
          <w:rFonts w:ascii="Arial" w:hAnsi="Arial" w:cs="Arial"/>
          <w:b/>
          <w:sz w:val="22"/>
          <w:szCs w:val="22"/>
          <w:lang w:val="sr-Cyrl-RS"/>
        </w:rPr>
        <w:t>1</w:t>
      </w:r>
      <w:r w:rsidRPr="001827DF">
        <w:rPr>
          <w:rFonts w:ascii="Arial" w:hAnsi="Arial" w:cs="Arial"/>
          <w:b/>
          <w:sz w:val="22"/>
          <w:szCs w:val="22"/>
          <w:lang w:val="sr-Cyrl-RS"/>
        </w:rPr>
        <w:t>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E10BF">
        <w:rPr>
          <w:rFonts w:ascii="Arial" w:hAnsi="Arial" w:cs="Arial"/>
          <w:sz w:val="22"/>
          <w:szCs w:val="22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03FA2" w:rsidRPr="001E10BF" w:rsidTr="00595C26">
        <w:tc>
          <w:tcPr>
            <w:tcW w:w="2699" w:type="dxa"/>
          </w:tcPr>
          <w:p w:rsidR="00D03FA2" w:rsidRDefault="00D03FA2" w:rsidP="00D03FA2">
            <w:pPr>
              <w:jc w:val="center"/>
            </w:pPr>
            <w:r w:rsidRPr="00455D40">
              <w:rPr>
                <w:rFonts w:ascii="Arial" w:hAnsi="Arial" w:cs="Arial"/>
                <w:sz w:val="22"/>
                <w:szCs w:val="22"/>
                <w:lang w:val="sr-Cyrl-RS"/>
              </w:rPr>
              <w:t>9.664.790,00</w:t>
            </w:r>
          </w:p>
        </w:tc>
        <w:tc>
          <w:tcPr>
            <w:tcW w:w="2471" w:type="dxa"/>
          </w:tcPr>
          <w:p w:rsidR="00D03FA2" w:rsidRDefault="00D03FA2" w:rsidP="00D03FA2">
            <w:pPr>
              <w:jc w:val="center"/>
            </w:pPr>
            <w:r w:rsidRPr="00455D40">
              <w:rPr>
                <w:rFonts w:ascii="Arial" w:hAnsi="Arial" w:cs="Arial"/>
                <w:sz w:val="22"/>
                <w:szCs w:val="22"/>
                <w:lang w:val="sr-Cyrl-RS"/>
              </w:rPr>
              <w:t>9.664.790,00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03FA2" w:rsidRPr="00B340FF" w:rsidTr="00595C26">
        <w:tc>
          <w:tcPr>
            <w:tcW w:w="2699" w:type="dxa"/>
          </w:tcPr>
          <w:p w:rsidR="00D03FA2" w:rsidRDefault="00D03FA2" w:rsidP="00D03FA2">
            <w:pPr>
              <w:jc w:val="center"/>
            </w:pPr>
            <w:r w:rsidRPr="00CE6BE1">
              <w:rPr>
                <w:rFonts w:ascii="Arial" w:hAnsi="Arial" w:cs="Arial"/>
                <w:sz w:val="22"/>
                <w:szCs w:val="22"/>
                <w:lang w:val="sr-Cyrl-RS"/>
              </w:rPr>
              <w:t>9.664.790,00</w:t>
            </w:r>
          </w:p>
        </w:tc>
        <w:tc>
          <w:tcPr>
            <w:tcW w:w="2471" w:type="dxa"/>
          </w:tcPr>
          <w:p w:rsidR="00D03FA2" w:rsidRDefault="00D03FA2" w:rsidP="00D03FA2">
            <w:pPr>
              <w:jc w:val="center"/>
            </w:pPr>
            <w:r w:rsidRPr="00CE6BE1">
              <w:rPr>
                <w:rFonts w:ascii="Arial" w:hAnsi="Arial" w:cs="Arial"/>
                <w:sz w:val="22"/>
                <w:szCs w:val="22"/>
                <w:lang w:val="sr-Cyrl-RS"/>
              </w:rPr>
              <w:t>9.664.790,00</w:t>
            </w:r>
          </w:p>
        </w:tc>
      </w:tr>
    </w:tbl>
    <w:p w:rsidR="001E10BF" w:rsidRPr="00D03FA2" w:rsidRDefault="001E10BF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3FA2">
        <w:rPr>
          <w:rFonts w:ascii="Arial" w:hAnsi="Arial" w:cs="Arial"/>
          <w:sz w:val="22"/>
          <w:szCs w:val="22"/>
          <w:lang w:val="sr-Cyrl-RS"/>
        </w:rPr>
        <w:t>20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1E10BF">
        <w:rPr>
          <w:rFonts w:ascii="Arial" w:hAnsi="Arial" w:cs="Arial"/>
          <w:sz w:val="22"/>
          <w:szCs w:val="22"/>
          <w:lang w:val="sr-Cyrl-RS"/>
        </w:rPr>
        <w:t>3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03FA2" w:rsidRDefault="00D03FA2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Pr="001827D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3FA2">
        <w:rPr>
          <w:rFonts w:ascii="Arial" w:hAnsi="Arial" w:cs="Arial"/>
          <w:sz w:val="22"/>
          <w:szCs w:val="22"/>
          <w:lang w:val="sr-Cyrl-RS"/>
        </w:rPr>
        <w:t>16</w:t>
      </w:r>
      <w:r w:rsidR="001E10BF">
        <w:rPr>
          <w:rFonts w:ascii="Arial" w:hAnsi="Arial" w:cs="Arial"/>
          <w:sz w:val="22"/>
          <w:szCs w:val="22"/>
          <w:lang w:val="sr-Cyrl-RS"/>
        </w:rPr>
        <w:t>.</w:t>
      </w:r>
      <w:r w:rsidR="001E10BF">
        <w:rPr>
          <w:rFonts w:ascii="Arial" w:hAnsi="Arial" w:cs="Arial"/>
          <w:sz w:val="22"/>
          <w:szCs w:val="22"/>
        </w:rPr>
        <w:t>0</w:t>
      </w:r>
      <w:r w:rsidR="001E10BF">
        <w:rPr>
          <w:rFonts w:ascii="Arial" w:hAnsi="Arial" w:cs="Arial"/>
          <w:sz w:val="22"/>
          <w:szCs w:val="22"/>
          <w:lang w:val="sr-Cyrl-RS"/>
        </w:rPr>
        <w:t>4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D03FA2" w:rsidRPr="001827DF" w:rsidTr="006B4B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A2" w:rsidRPr="005452B7" w:rsidRDefault="00D03FA2" w:rsidP="004D0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П.Д. „ИВИНГ“ д.о.о.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A2" w:rsidRDefault="00D03FA2" w:rsidP="004D074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18000 Ниш</w:t>
            </w:r>
          </w:p>
          <w:p w:rsidR="00D03FA2" w:rsidRPr="00C7037F" w:rsidRDefault="00D03FA2" w:rsidP="004D074F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Косовке девојке 32А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A2" w:rsidRPr="00D73E80" w:rsidRDefault="00D03FA2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07674031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A2" w:rsidRPr="00D73E80" w:rsidRDefault="00D03FA2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101533546</w:t>
            </w:r>
          </w:p>
        </w:tc>
      </w:tr>
    </w:tbl>
    <w:p w:rsidR="00D03FA2" w:rsidRDefault="00D03FA2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3FA2">
        <w:rPr>
          <w:rFonts w:ascii="Arial" w:hAnsi="Arial" w:cs="Arial"/>
          <w:sz w:val="22"/>
          <w:szCs w:val="22"/>
          <w:lang w:val="sr-Cyrl-RS"/>
        </w:rPr>
        <w:t>120 дана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F3337B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8C" w:rsidRDefault="005E2F8C">
      <w:r>
        <w:separator/>
      </w:r>
    </w:p>
  </w:endnote>
  <w:endnote w:type="continuationSeparator" w:id="0">
    <w:p w:rsidR="005E2F8C" w:rsidRDefault="005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E2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5E2F8C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F3337B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F3337B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5E2F8C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E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8C" w:rsidRDefault="005E2F8C">
      <w:r>
        <w:separator/>
      </w:r>
    </w:p>
  </w:footnote>
  <w:footnote w:type="continuationSeparator" w:id="0">
    <w:p w:rsidR="005E2F8C" w:rsidRDefault="005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E2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5E2F8C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E2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06C38"/>
    <w:rsid w:val="000118FC"/>
    <w:rsid w:val="000B702F"/>
    <w:rsid w:val="000D3FBF"/>
    <w:rsid w:val="000D6DF6"/>
    <w:rsid w:val="001707D4"/>
    <w:rsid w:val="001B3C23"/>
    <w:rsid w:val="001C12B2"/>
    <w:rsid w:val="001E10BF"/>
    <w:rsid w:val="00245C58"/>
    <w:rsid w:val="00325D25"/>
    <w:rsid w:val="00426755"/>
    <w:rsid w:val="004839DF"/>
    <w:rsid w:val="0051409D"/>
    <w:rsid w:val="005E2F8C"/>
    <w:rsid w:val="00651823"/>
    <w:rsid w:val="006D4D81"/>
    <w:rsid w:val="00730565"/>
    <w:rsid w:val="00804EEC"/>
    <w:rsid w:val="008409CD"/>
    <w:rsid w:val="00842932"/>
    <w:rsid w:val="00844BD4"/>
    <w:rsid w:val="0086094F"/>
    <w:rsid w:val="00865869"/>
    <w:rsid w:val="008D259C"/>
    <w:rsid w:val="008F14B4"/>
    <w:rsid w:val="00974928"/>
    <w:rsid w:val="00AF758A"/>
    <w:rsid w:val="00B340FF"/>
    <w:rsid w:val="00C30106"/>
    <w:rsid w:val="00C31B49"/>
    <w:rsid w:val="00CA3883"/>
    <w:rsid w:val="00D03FA2"/>
    <w:rsid w:val="00D73E80"/>
    <w:rsid w:val="00F3337B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2019-04-17T08:21:00Z</cp:lastPrinted>
  <dcterms:created xsi:type="dcterms:W3CDTF">2019-04-17T10:51:00Z</dcterms:created>
  <dcterms:modified xsi:type="dcterms:W3CDTF">2019-04-17T10:51:00Z</dcterms:modified>
</cp:coreProperties>
</file>