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05CF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05CF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E1E97">
        <w:rPr>
          <w:rFonts w:ascii="Arial" w:hAnsi="Arial"/>
          <w:lang w:val="sr-Cyrl-RS"/>
        </w:rPr>
        <w:t xml:space="preserve"> 105-Е.03.01-104253/4-2019</w:t>
      </w:r>
    </w:p>
    <w:p w:rsidR="0046231D" w:rsidRPr="00B05CF7" w:rsidRDefault="003E1E9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12.03.2019.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875BD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1875BD">
        <w:rPr>
          <w:rFonts w:ascii="Arial" w:hAnsi="Arial"/>
          <w:iCs/>
        </w:rPr>
        <w:t>На основу члана 54. и 63. Закона о јавним набавк</w:t>
      </w:r>
      <w:r w:rsidR="008C28EE" w:rsidRPr="001875BD">
        <w:rPr>
          <w:rFonts w:ascii="Arial" w:hAnsi="Arial"/>
          <w:iCs/>
        </w:rPr>
        <w:t>ама („Службeни глaсник РС", бр</w:t>
      </w:r>
      <w:r w:rsidR="008C28EE" w:rsidRPr="001875BD">
        <w:rPr>
          <w:rFonts w:ascii="Arial" w:hAnsi="Arial"/>
          <w:iCs/>
          <w:lang w:val="sr-Cyrl-RS"/>
        </w:rPr>
        <w:t>.</w:t>
      </w:r>
      <w:r w:rsidRPr="001875BD">
        <w:rPr>
          <w:rFonts w:ascii="Arial" w:hAnsi="Arial"/>
          <w:iCs/>
        </w:rPr>
        <w:t xml:space="preserve"> 124/12</w:t>
      </w:r>
      <w:r w:rsidR="008C28EE" w:rsidRPr="001875BD">
        <w:rPr>
          <w:rFonts w:ascii="Arial" w:hAnsi="Arial"/>
          <w:iCs/>
          <w:lang w:val="ru-RU"/>
        </w:rPr>
        <w:t>,</w:t>
      </w:r>
      <w:r w:rsidR="00C04B2D" w:rsidRPr="001875BD">
        <w:rPr>
          <w:rFonts w:ascii="Arial" w:hAnsi="Arial"/>
          <w:iCs/>
          <w:lang w:val="ru-RU"/>
        </w:rPr>
        <w:t xml:space="preserve"> </w:t>
      </w:r>
      <w:r w:rsidRPr="001875BD">
        <w:rPr>
          <w:rFonts w:ascii="Arial" w:hAnsi="Arial"/>
          <w:iCs/>
        </w:rPr>
        <w:t>14/15</w:t>
      </w:r>
      <w:r w:rsidR="00C04B2D" w:rsidRPr="001875BD">
        <w:rPr>
          <w:rFonts w:ascii="Arial" w:hAnsi="Arial"/>
          <w:iCs/>
          <w:lang w:val="sr-Cyrl-RS"/>
        </w:rPr>
        <w:t xml:space="preserve"> </w:t>
      </w:r>
      <w:r w:rsidR="008C28EE" w:rsidRPr="001875BD">
        <w:rPr>
          <w:rFonts w:ascii="Arial" w:hAnsi="Arial"/>
          <w:iCs/>
          <w:lang w:val="sr-Cyrl-RS"/>
        </w:rPr>
        <w:t>и 68/15</w:t>
      </w:r>
      <w:r w:rsidRPr="001875BD">
        <w:rPr>
          <w:rFonts w:ascii="Arial" w:hAnsi="Arial"/>
          <w:iCs/>
        </w:rPr>
        <w:t xml:space="preserve">), Комисија за јавну набавку број </w:t>
      </w:r>
      <w:r w:rsidR="00B05CF7" w:rsidRPr="001875BD">
        <w:rPr>
          <w:rFonts w:ascii="Arial" w:hAnsi="Arial"/>
          <w:szCs w:val="24"/>
          <w:lang w:val="sr-Cyrl-RS"/>
        </w:rPr>
        <w:t>2003/2018 (3000/0994/2018)</w:t>
      </w:r>
      <w:r w:rsidRPr="001875BD">
        <w:rPr>
          <w:rFonts w:ascii="Arial" w:hAnsi="Arial"/>
          <w:lang w:val="ru-RU"/>
        </w:rPr>
        <w:t xml:space="preserve">, </w:t>
      </w:r>
      <w:r w:rsidRPr="001875BD">
        <w:rPr>
          <w:rFonts w:ascii="Arial" w:hAnsi="Arial"/>
        </w:rPr>
        <w:t xml:space="preserve">за набавку </w:t>
      </w:r>
      <w:r w:rsidR="00B05CF7" w:rsidRPr="001875BD">
        <w:rPr>
          <w:rFonts w:ascii="Arial" w:hAnsi="Arial"/>
          <w:lang w:val="sr-Cyrl-RS" w:eastAsia="hr-HR"/>
        </w:rPr>
        <w:t>Анализа и испитивања узорака са цевног система котла блокова на ТЕНТ-А</w:t>
      </w:r>
      <w:r w:rsidRPr="001875BD">
        <w:rPr>
          <w:rFonts w:ascii="Arial" w:hAnsi="Arial"/>
        </w:rPr>
        <w:t xml:space="preserve">, </w:t>
      </w:r>
      <w:r w:rsidRPr="001875BD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05CF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A65058" w:rsidRDefault="00A65058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05CF7">
        <w:rPr>
          <w:rFonts w:ascii="Arial" w:hAnsi="Arial"/>
          <w:iCs/>
          <w:lang w:val="ru-RU"/>
        </w:rPr>
        <w:t>На страни 5 од 70 тендерске документације, техничка спецификација, тачка 2 сте навели:</w:t>
      </w:r>
    </w:p>
    <w:p w:rsidR="00B05CF7" w:rsidRDefault="00B05CF7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Фабричке контроле у земљи и иностранству, у току производње опреме за постројења на ТЕНТ А</w:t>
      </w:r>
    </w:p>
    <w:p w:rsidR="00B05CF7" w:rsidRDefault="00B05CF7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 којим земљама ће се вршити фабричке контроле у иностранству?</w:t>
      </w:r>
    </w:p>
    <w:p w:rsidR="00B05CF7" w:rsidRDefault="00B05CF7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 ли је могуће доставити листу  испоручиоца опреме за коју је планирана фабричка контрола?</w:t>
      </w:r>
    </w:p>
    <w:p w:rsidR="00B05CF7" w:rsidRPr="00D97D88" w:rsidRDefault="00B05CF7" w:rsidP="003317EC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Због чега у обрасцу цене није раздвојено човек/дан на иностранство и у земљи? Ово је веома битно због формирања конкурентне цене јер Наручилац је дужан да дефинише колико планираних излазака очекује због фабричке контроле у земљи и иностранству јер трошкови излазака човека нису исти и за излазак у земљи и иностранству.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875BD" w:rsidRPr="001875BD" w:rsidRDefault="00823373" w:rsidP="001875BD">
      <w:pPr>
        <w:spacing w:line="240" w:lineRule="auto"/>
        <w:contextualSpacing/>
        <w:rPr>
          <w:rFonts w:ascii="Arial" w:eastAsia="Calibri" w:hAnsi="Arial"/>
          <w:lang w:val="sr-Cyrl-RS"/>
        </w:rPr>
      </w:pPr>
      <w:r w:rsidRPr="001875BD">
        <w:rPr>
          <w:rFonts w:ascii="Arial" w:hAnsi="Arial"/>
          <w:b/>
          <w:iCs/>
        </w:rPr>
        <w:t xml:space="preserve">ОДГОВОР 1: </w:t>
      </w:r>
      <w:r w:rsidR="001875BD" w:rsidRPr="001875BD">
        <w:rPr>
          <w:rFonts w:ascii="Arial" w:eastAsia="Calibri" w:hAnsi="Arial"/>
          <w:lang w:val="sr-Cyrl-RS"/>
        </w:rPr>
        <w:t>Наручилац у овом тренутку, још увек нема уговоре са испоручиоцима код којих ће производити опрема и код којих ће се вршити фабричке контроле, те с тога, листа истих не може бити достављена потенцијалним понуђачима.</w:t>
      </w:r>
    </w:p>
    <w:p w:rsidR="001875BD" w:rsidRPr="001875BD" w:rsidRDefault="001875BD" w:rsidP="001875BD">
      <w:pPr>
        <w:spacing w:after="120" w:line="240" w:lineRule="auto"/>
        <w:rPr>
          <w:rFonts w:ascii="Arial" w:eastAsia="Calibri" w:hAnsi="Arial"/>
          <w:lang w:val="sr-Cyrl-RS"/>
        </w:rPr>
      </w:pPr>
      <w:r w:rsidRPr="001875BD">
        <w:rPr>
          <w:rFonts w:ascii="Arial" w:eastAsia="Calibri" w:hAnsi="Arial"/>
          <w:lang w:val="sr-Cyrl-RS"/>
        </w:rPr>
        <w:t xml:space="preserve">Узимајући у обзир начин на који је конкурсна документација дефинисана, као и то да Наручилац у овом тренутку нема информације о томе ко ће бити испоручиоци опреме, Наручилац није у могућности, нити је дужан да дефинише број излазака због фабричких контрола у земљи и иностранству. Наиме, према конкурсној документацији, од понуђача се захтева да поднесе понуду за ангажовање особља са одговарајућом опремом за испитивања, у складу са врстама предвиђених испитивања током фабричке контроле, </w:t>
      </w:r>
      <w:r w:rsidRPr="001875BD">
        <w:rPr>
          <w:rFonts w:ascii="Arial" w:eastAsia="Calibri" w:hAnsi="Arial"/>
          <w:u w:val="single"/>
          <w:lang w:val="sr-Cyrl-RS"/>
        </w:rPr>
        <w:t>на принципу „човек/дан“</w:t>
      </w:r>
      <w:r w:rsidRPr="001875BD">
        <w:rPr>
          <w:rFonts w:ascii="Arial" w:eastAsia="Calibri" w:hAnsi="Arial"/>
          <w:lang w:val="sr-Cyrl-RS"/>
        </w:rPr>
        <w:t>, без обзира на обим и количину предвиђених испитивања, при чему се изабраном понуђачу признају и дани путовања до и од локације испитивања, било да се ради о испитивањима у земљи, било да се ради о испитивањима у иностранству. Дакле, од изабраног понуђача се очекује да Наручиоцу стави на располагање особље са одговарајућом опремом за период који је потребан за обављање фабричке контроле. Наведени услови су исти за све понуђаче и на њима је да одлуче на који начин ће формирати конкурентну цену.</w:t>
      </w:r>
    </w:p>
    <w:p w:rsidR="00823373" w:rsidRPr="001875BD" w:rsidRDefault="00823373" w:rsidP="001875BD">
      <w:pPr>
        <w:spacing w:after="240"/>
        <w:rPr>
          <w:rFonts w:ascii="Arial" w:hAnsi="Arial"/>
          <w:lang w:val="sr-Cyrl-RS"/>
        </w:rPr>
      </w:pPr>
    </w:p>
    <w:p w:rsidR="00823373" w:rsidRDefault="00823373" w:rsidP="001875B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B05CF7">
        <w:rPr>
          <w:rFonts w:ascii="Arial" w:hAnsi="Arial"/>
          <w:iCs/>
          <w:lang w:val="sr-Cyrl-RS"/>
        </w:rPr>
        <w:t>на страни 5 од 70, техничка спецификациај сте навели:</w:t>
      </w:r>
    </w:p>
    <w:p w:rsidR="00B05CF7" w:rsidRDefault="00B05CF7" w:rsidP="001875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Изабрани понуђач</w:t>
      </w:r>
      <w:r w:rsidR="00A65058">
        <w:rPr>
          <w:rFonts w:ascii="Arial" w:hAnsi="Arial"/>
          <w:iCs/>
          <w:lang w:val="sr-Cyrl-RS"/>
        </w:rPr>
        <w:t xml:space="preserve"> је у обавези закључивања уговора, а пре почетка пружања предметних услуга, Наручиоцу достави ваећа уверења о еталонирању за опрему која ће бити коришћена за предметна испитивања и која су у скаладу са тачком стандарда </w:t>
      </w:r>
      <w:r w:rsidR="005218FA" w:rsidRPr="009F3AEF">
        <w:rPr>
          <w:rFonts w:ascii="Arial" w:hAnsi="Arial"/>
          <w:iCs/>
          <w:lang w:val="sr-Latn-RS"/>
        </w:rPr>
        <w:t>SPRC ISO/IEC 17025</w:t>
      </w:r>
      <w:r w:rsidR="00A65058">
        <w:rPr>
          <w:rFonts w:ascii="Arial" w:hAnsi="Arial"/>
          <w:iCs/>
          <w:lang w:val="sr-Latn-RS"/>
        </w:rPr>
        <w:t>,</w:t>
      </w:r>
      <w:r w:rsidR="00A65058">
        <w:rPr>
          <w:rFonts w:ascii="Arial" w:hAnsi="Arial"/>
          <w:iCs/>
          <w:lang w:val="sr-Cyrl-RS"/>
        </w:rPr>
        <w:t xml:space="preserve"> подлеже еталонирању.</w:t>
      </w:r>
    </w:p>
    <w:p w:rsidR="00A65058" w:rsidRDefault="001D31EB" w:rsidP="001875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 страни 6 од 70 тендерске документације, технича спецификација сте навели:</w:t>
      </w:r>
    </w:p>
    <w:p w:rsidR="001D31EB" w:rsidRDefault="001D31EB" w:rsidP="001875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Фабричке контроле у земљи и иностранству, у току производње опреме за постројење на ТЕНТ А подразумева следеће:</w:t>
      </w:r>
    </w:p>
    <w:p w:rsidR="001D31EB" w:rsidRDefault="001D31EB" w:rsidP="001875BD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Испитивање опреме у ситуацијама када је Планом контроле квалитета предвиђено да испитивање врши лабораторија ангажована од стране Наручиоца – визуелна испитивања, димензиона испитивања, мерење дебљине ултразвучним уређајем, мерење тврдоће, металографса испитивања методом реплике, испитивање методом ултразвука, испитивање магнетних честица, испитивање метом течних перентраната испитивање хемијског састава методом </w:t>
      </w:r>
      <w:r>
        <w:rPr>
          <w:rFonts w:ascii="Arial" w:hAnsi="Arial"/>
          <w:iCs/>
          <w:lang w:val="sr-Latn-RS"/>
        </w:rPr>
        <w:t>XRF.</w:t>
      </w:r>
    </w:p>
    <w:p w:rsidR="001D31EB" w:rsidRDefault="001D31EB" w:rsidP="001875BD">
      <w:pPr>
        <w:ind w:left="36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Због чега се за опрему за мерење дебљине ул</w:t>
      </w:r>
      <w:r w:rsidR="009F3AEF">
        <w:rPr>
          <w:rFonts w:ascii="Arial" w:hAnsi="Arial"/>
          <w:iCs/>
          <w:lang w:val="sr-Cyrl-RS"/>
        </w:rPr>
        <w:t xml:space="preserve">тразвучним уређајем, тврдоће, испитивање ултразвуком и магнетним Честицама исто не захтевају важећа уверења/извештаји о еталонирању/калибрацији уређаја од стране акредитованих установа када је то исто захтев тачке 5 стандарда </w:t>
      </w:r>
      <w:r w:rsidR="005218FA" w:rsidRPr="009F3AEF">
        <w:rPr>
          <w:rFonts w:ascii="Arial" w:hAnsi="Arial"/>
          <w:iCs/>
          <w:lang w:val="sr-Latn-RS"/>
        </w:rPr>
        <w:t>SPRC ISO/IEC 17025</w:t>
      </w:r>
      <w:r w:rsidR="005218FA">
        <w:rPr>
          <w:rFonts w:ascii="Arial" w:hAnsi="Arial"/>
          <w:iCs/>
          <w:lang w:val="sr-Cyrl-RS"/>
        </w:rPr>
        <w:t xml:space="preserve"> </w:t>
      </w:r>
      <w:r w:rsidR="009F3AEF">
        <w:rPr>
          <w:rFonts w:ascii="Arial" w:hAnsi="Arial"/>
          <w:iCs/>
          <w:lang w:val="sr-Cyrl-RS"/>
        </w:rPr>
        <w:t>коју сте навели?</w:t>
      </w:r>
    </w:p>
    <w:p w:rsidR="009F3AEF" w:rsidRPr="009F3AEF" w:rsidRDefault="009F3AEF" w:rsidP="001875BD">
      <w:pPr>
        <w:ind w:left="36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ли су материјали на којима ће се радити </w:t>
      </w:r>
      <w:r>
        <w:rPr>
          <w:rFonts w:ascii="Arial" w:hAnsi="Arial"/>
          <w:iCs/>
          <w:lang w:val="sr-Latn-RS"/>
        </w:rPr>
        <w:t>XRF</w:t>
      </w:r>
      <w:r>
        <w:rPr>
          <w:rFonts w:ascii="Arial" w:hAnsi="Arial"/>
          <w:iCs/>
          <w:lang w:val="sr-Cyrl-RS"/>
        </w:rPr>
        <w:t xml:space="preserve"> анализа угљенични челици?</w:t>
      </w:r>
    </w:p>
    <w:p w:rsidR="001D31EB" w:rsidRPr="00A65058" w:rsidRDefault="001D31EB" w:rsidP="001875BD">
      <w:pPr>
        <w:rPr>
          <w:rFonts w:ascii="Arial" w:hAnsi="Arial"/>
          <w:iCs/>
          <w:lang w:val="sr-Cyrl-RS"/>
        </w:rPr>
      </w:pPr>
    </w:p>
    <w:p w:rsidR="001875BD" w:rsidRPr="001875BD" w:rsidRDefault="00823373" w:rsidP="001875BD">
      <w:pPr>
        <w:spacing w:line="240" w:lineRule="auto"/>
        <w:contextualSpacing/>
        <w:rPr>
          <w:rFonts w:ascii="Arial" w:eastAsia="Calibri" w:hAnsi="Arial"/>
          <w:lang w:val="sr-Cyrl-RS"/>
        </w:rPr>
      </w:pPr>
      <w:r w:rsidRPr="001875BD">
        <w:rPr>
          <w:rFonts w:ascii="Arial" w:hAnsi="Arial"/>
          <w:b/>
          <w:iCs/>
        </w:rPr>
        <w:t xml:space="preserve">ОДГОВОР </w:t>
      </w:r>
      <w:r w:rsidRPr="001875BD">
        <w:rPr>
          <w:rFonts w:ascii="Arial" w:hAnsi="Arial"/>
          <w:b/>
          <w:iCs/>
          <w:lang w:val="ru-RU"/>
        </w:rPr>
        <w:t>2</w:t>
      </w:r>
      <w:r w:rsidRPr="001875BD">
        <w:rPr>
          <w:rFonts w:ascii="Arial" w:hAnsi="Arial"/>
          <w:b/>
          <w:iCs/>
        </w:rPr>
        <w:t xml:space="preserve">: </w:t>
      </w:r>
      <w:r w:rsidR="001875BD" w:rsidRPr="001875BD">
        <w:rPr>
          <w:rFonts w:ascii="Arial" w:eastAsia="Calibri" w:hAnsi="Arial"/>
          <w:lang w:val="sr-Cyrl-RS"/>
        </w:rPr>
        <w:t>Опрема којом ће се вршити предметна испитивања из тачака 1) и 2) у оквиру тачке 3.1 Конкурсне документације – „Опис услуге“, мора бити еталонирана у складу са тачком 5 стандарда SRPS ISO/IEC 17025, те ће стога, на основу примедбе заинтересованог лица, бити измењена тачка 3.1 Конкурсне документације у делу „Обавезе изабраног понуђача везане за тачку 2 из одељка „Опис услуге“ – Фабричке контроле у земљи и иностранству, у току производње опреме за постројења на ТЕНТ А“.</w:t>
      </w:r>
    </w:p>
    <w:p w:rsidR="001875BD" w:rsidRPr="001875BD" w:rsidRDefault="001875BD" w:rsidP="001875BD">
      <w:pPr>
        <w:spacing w:after="120" w:line="240" w:lineRule="auto"/>
        <w:rPr>
          <w:rFonts w:ascii="Arial" w:eastAsia="Calibri" w:hAnsi="Arial"/>
          <w:lang w:val="sr-Cyrl-RS"/>
        </w:rPr>
      </w:pPr>
      <w:r w:rsidRPr="001875BD">
        <w:rPr>
          <w:rFonts w:ascii="Arial" w:eastAsia="Calibri" w:hAnsi="Arial"/>
          <w:lang w:val="sr-Latn-RS"/>
        </w:rPr>
        <w:t xml:space="preserve">XRF </w:t>
      </w:r>
      <w:r w:rsidRPr="001875BD">
        <w:rPr>
          <w:rFonts w:ascii="Arial" w:eastAsia="Calibri" w:hAnsi="Arial"/>
          <w:lang w:val="sr-Cyrl-RS"/>
        </w:rPr>
        <w:t xml:space="preserve">анализе ће се радити на материјалима за које то буде захтевао Наручилац. Сходно претходно наведеном, податак о томе на којим ће се челицима радити </w:t>
      </w:r>
      <w:r w:rsidRPr="001875BD">
        <w:rPr>
          <w:rFonts w:ascii="Arial" w:eastAsia="Calibri" w:hAnsi="Arial"/>
          <w:lang w:val="sr-Latn-RS"/>
        </w:rPr>
        <w:t xml:space="preserve">XRF </w:t>
      </w:r>
      <w:r w:rsidRPr="001875BD">
        <w:rPr>
          <w:rFonts w:ascii="Arial" w:eastAsia="Calibri" w:hAnsi="Arial"/>
          <w:lang w:val="sr-Cyrl-RS"/>
        </w:rPr>
        <w:t xml:space="preserve">анализе, односно да ли ће се ове анализе радити на угљеничним челицима, потпуно је ирелевантан за потенцијалне понуђаче. Наручилац је свестан ограничења </w:t>
      </w:r>
      <w:r w:rsidRPr="001875BD">
        <w:rPr>
          <w:rFonts w:ascii="Arial" w:eastAsia="Calibri" w:hAnsi="Arial"/>
          <w:lang w:val="sr-Latn-RS"/>
        </w:rPr>
        <w:t xml:space="preserve">XRF </w:t>
      </w:r>
      <w:r w:rsidRPr="001875BD">
        <w:rPr>
          <w:rFonts w:ascii="Arial" w:eastAsia="Calibri" w:hAnsi="Arial"/>
          <w:lang w:val="sr-Cyrl-RS"/>
        </w:rPr>
        <w:t>уређаја везаних за могућност детекције угљеника.</w:t>
      </w:r>
    </w:p>
    <w:p w:rsidR="009F3AEF" w:rsidRPr="009F3AEF" w:rsidRDefault="009F3AEF" w:rsidP="001875B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9F3AEF" w:rsidRDefault="009F3AEF" w:rsidP="001875B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ПИТАЊЕ 3: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На страни 5 од 70 тендерске документације, техника спецификација, тачка 2 сте навели:</w:t>
      </w:r>
    </w:p>
    <w:p w:rsidR="009F3AEF" w:rsidRDefault="009F3AEF" w:rsidP="001875B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Фабричке контролеу земљи и иностранству, у току производње опреме за постројења на ТЕНТ А</w:t>
      </w:r>
    </w:p>
    <w:p w:rsidR="009F3AEF" w:rsidRDefault="009F3AEF" w:rsidP="001875B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На страни 11 од 70 тендерске документације, технички капацитет сте навели:</w:t>
      </w:r>
    </w:p>
    <w:p w:rsidR="005218FA" w:rsidRDefault="009F3AEF" w:rsidP="001875B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 xml:space="preserve">Копија сертификата о акредитацији према захтевима стандарда </w:t>
      </w:r>
      <w:r w:rsidRPr="009F3AEF">
        <w:rPr>
          <w:rFonts w:ascii="Arial" w:hAnsi="Arial"/>
          <w:iCs/>
          <w:sz w:val="22"/>
          <w:szCs w:val="22"/>
          <w:lang w:val="sr-Latn-RS"/>
        </w:rPr>
        <w:t>SP</w:t>
      </w:r>
      <w:r w:rsidR="005218FA" w:rsidRPr="009F3AEF">
        <w:rPr>
          <w:rFonts w:ascii="Arial" w:hAnsi="Arial"/>
          <w:iCs/>
          <w:sz w:val="22"/>
          <w:szCs w:val="22"/>
          <w:lang w:val="sr-Latn-RS"/>
        </w:rPr>
        <w:t>R</w:t>
      </w:r>
      <w:r w:rsidRPr="009F3AEF">
        <w:rPr>
          <w:rFonts w:ascii="Arial" w:hAnsi="Arial"/>
          <w:iCs/>
          <w:sz w:val="22"/>
          <w:szCs w:val="22"/>
          <w:lang w:val="sr-Latn-RS"/>
        </w:rPr>
        <w:t>C ISO/IEC 17025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издатим од стране Акредитационог тела Србије </w:t>
      </w:r>
      <w:r w:rsidR="005218FA">
        <w:rPr>
          <w:rFonts w:ascii="Arial" w:hAnsi="Arial" w:cs="Arial"/>
          <w:iCs/>
          <w:sz w:val="22"/>
          <w:szCs w:val="22"/>
          <w:lang w:val="sr-Cyrl-RS"/>
        </w:rPr>
        <w:t>(</w:t>
      </w:r>
      <w:r>
        <w:rPr>
          <w:rFonts w:ascii="Arial" w:hAnsi="Arial" w:cs="Arial"/>
          <w:iCs/>
          <w:sz w:val="22"/>
          <w:szCs w:val="22"/>
          <w:lang w:val="sr-Cyrl-RS"/>
        </w:rPr>
        <w:t>АТ</w:t>
      </w:r>
      <w:r>
        <w:rPr>
          <w:rFonts w:ascii="Arial" w:hAnsi="Arial" w:cs="Arial"/>
          <w:iCs/>
          <w:sz w:val="22"/>
          <w:szCs w:val="22"/>
          <w:lang w:val="sr-Latn-RS"/>
        </w:rPr>
        <w:t>S</w:t>
      </w:r>
      <w:r w:rsidR="005218FA">
        <w:rPr>
          <w:rFonts w:ascii="Arial" w:hAnsi="Arial" w:cs="Arial"/>
          <w:iCs/>
          <w:sz w:val="22"/>
          <w:szCs w:val="22"/>
          <w:lang w:val="sr-Cyrl-RS"/>
        </w:rPr>
        <w:t>), са обимом акредитације који обухвата све врсе испитивања наведене у Техничкој спецификацији.</w:t>
      </w:r>
    </w:p>
    <w:p w:rsidR="00677053" w:rsidRDefault="005218FA" w:rsidP="001875BD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 xml:space="preserve">На основу наведеног лабораторија акредитована према </w:t>
      </w:r>
      <w:r w:rsidRPr="009F3AEF">
        <w:rPr>
          <w:rFonts w:ascii="Arial" w:hAnsi="Arial"/>
          <w:iCs/>
          <w:sz w:val="22"/>
          <w:szCs w:val="22"/>
          <w:lang w:val="sr-Latn-RS"/>
        </w:rPr>
        <w:t>SPRC ISO/IEC 17025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није компетентна нити овлашћена да врши фабричке контроле нити било које врсте контролисања/испитивања без разарања, то могу само да раде контролна тела према </w:t>
      </w:r>
      <w:r w:rsidRPr="009F3AEF">
        <w:rPr>
          <w:rFonts w:ascii="Arial" w:hAnsi="Arial"/>
          <w:iCs/>
          <w:sz w:val="22"/>
          <w:szCs w:val="22"/>
          <w:lang w:val="sr-Latn-RS"/>
        </w:rPr>
        <w:t xml:space="preserve">SPRC </w:t>
      </w:r>
      <w:r>
        <w:rPr>
          <w:rFonts w:ascii="Arial" w:hAnsi="Arial"/>
          <w:iCs/>
          <w:sz w:val="22"/>
          <w:szCs w:val="22"/>
          <w:lang w:val="sr-Latn-RS"/>
        </w:rPr>
        <w:t xml:space="preserve">EN </w:t>
      </w:r>
      <w:r w:rsidRPr="009F3AEF">
        <w:rPr>
          <w:rFonts w:ascii="Arial" w:hAnsi="Arial"/>
          <w:iCs/>
          <w:sz w:val="22"/>
          <w:szCs w:val="22"/>
          <w:lang w:val="sr-Latn-RS"/>
        </w:rPr>
        <w:t>ISO/IEC 1702</w:t>
      </w:r>
      <w:r>
        <w:rPr>
          <w:rFonts w:ascii="Arial" w:hAnsi="Arial"/>
          <w:iCs/>
          <w:sz w:val="22"/>
          <w:szCs w:val="22"/>
          <w:lang w:val="sr-Latn-RS"/>
        </w:rPr>
        <w:t>0. Билo кaквo спoми</w:t>
      </w:r>
      <w:r w:rsidR="00677053">
        <w:rPr>
          <w:rFonts w:ascii="Arial" w:hAnsi="Arial"/>
          <w:iCs/>
          <w:sz w:val="22"/>
          <w:szCs w:val="22"/>
          <w:lang w:val="sr-Cyrl-RS"/>
        </w:rPr>
        <w:t>њ</w:t>
      </w:r>
      <w:r w:rsidR="00677053">
        <w:rPr>
          <w:rFonts w:ascii="Arial" w:hAnsi="Arial"/>
          <w:iCs/>
          <w:sz w:val="22"/>
          <w:szCs w:val="22"/>
          <w:lang w:val="sr-Latn-RS"/>
        </w:rPr>
        <w:t>a</w:t>
      </w:r>
      <w:r w:rsidR="00677053">
        <w:rPr>
          <w:rFonts w:ascii="Arial" w:hAnsi="Arial"/>
          <w:iCs/>
          <w:sz w:val="22"/>
          <w:szCs w:val="22"/>
          <w:lang w:val="sr-Cyrl-RS"/>
        </w:rPr>
        <w:t>њ</w:t>
      </w:r>
      <w:r>
        <w:rPr>
          <w:rFonts w:ascii="Arial" w:hAnsi="Arial"/>
          <w:iCs/>
          <w:sz w:val="22"/>
          <w:szCs w:val="22"/>
          <w:lang w:val="sr-Latn-RS"/>
        </w:rPr>
        <w:t>e прeмa плaну и прoгрaму Нaручиoцa дa тe пoслoвe мoрa дa oбaв</w:t>
      </w:r>
      <w:r w:rsidR="00677053">
        <w:rPr>
          <w:rFonts w:ascii="Arial" w:hAnsi="Arial"/>
          <w:iCs/>
          <w:sz w:val="22"/>
          <w:szCs w:val="22"/>
          <w:lang w:val="sr-Cyrl-RS"/>
        </w:rPr>
        <w:t>љ</w:t>
      </w:r>
      <w:r>
        <w:rPr>
          <w:rFonts w:ascii="Arial" w:hAnsi="Arial"/>
          <w:iCs/>
          <w:sz w:val="22"/>
          <w:szCs w:val="22"/>
          <w:lang w:val="sr-Latn-RS"/>
        </w:rPr>
        <w:t xml:space="preserve">a лaбoрaтoриja je пoгрeшнo </w:t>
      </w:r>
      <w:r w:rsidR="00677053">
        <w:rPr>
          <w:rFonts w:ascii="Arial" w:hAnsi="Arial"/>
          <w:iCs/>
          <w:sz w:val="22"/>
          <w:szCs w:val="22"/>
          <w:lang w:val="sr-Cyrl-RS"/>
        </w:rPr>
        <w:t>и нетачно. Такве врсте контролисања врше искључиво независна тела треће стране као што су контролна тела типа А.</w:t>
      </w:r>
    </w:p>
    <w:p w:rsidR="009F3AEF" w:rsidRDefault="00677053" w:rsidP="001875BD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lastRenderedPageBreak/>
        <w:t>Такође због могућности сукоба интереса, организација која врши контролисања/испитивања за Испоручиоца не сме да буде укључена у контролисање/испитивање исте те опреме за Наручиоца.</w:t>
      </w:r>
    </w:p>
    <w:p w:rsidR="00677053" w:rsidRPr="00677053" w:rsidRDefault="00677053" w:rsidP="001875B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t xml:space="preserve">На основу свега наведеног услов за део који се односи на фабричку контролу мора бити копија сертификата о акредитацији према захтевима стандарда </w:t>
      </w:r>
      <w:r w:rsidRPr="009F3AEF">
        <w:rPr>
          <w:rFonts w:ascii="Arial" w:hAnsi="Arial"/>
          <w:iCs/>
          <w:sz w:val="22"/>
          <w:szCs w:val="22"/>
          <w:lang w:val="sr-Latn-RS"/>
        </w:rPr>
        <w:t>SPRC ISO/</w:t>
      </w:r>
      <w:r>
        <w:rPr>
          <w:rFonts w:ascii="Arial" w:hAnsi="Arial"/>
          <w:iCs/>
          <w:sz w:val="22"/>
          <w:szCs w:val="22"/>
          <w:lang w:val="sr-Latn-RS"/>
        </w:rPr>
        <w:t>IEC 1702</w:t>
      </w:r>
      <w:r>
        <w:rPr>
          <w:rFonts w:ascii="Arial" w:hAnsi="Arial"/>
          <w:iCs/>
          <w:sz w:val="22"/>
          <w:szCs w:val="22"/>
          <w:lang w:val="sr-Cyrl-RS"/>
        </w:rPr>
        <w:t>0</w:t>
      </w:r>
      <w:r w:rsidR="001875BD">
        <w:rPr>
          <w:rFonts w:ascii="Arial" w:hAnsi="Arial"/>
          <w:iCs/>
          <w:sz w:val="22"/>
          <w:szCs w:val="22"/>
          <w:lang w:val="sr-Cyrl-RS"/>
        </w:rPr>
        <w:t>, за контролну организацију типа А. Било какво условљавање са лабораторијом је кршење правила акредитације и послова које обављају контролна тела као и њихова дискриминација према ЗЈН.</w:t>
      </w:r>
    </w:p>
    <w:p w:rsidR="001875BD" w:rsidRPr="001875BD" w:rsidRDefault="009F3AEF" w:rsidP="001875BD">
      <w:pPr>
        <w:spacing w:line="240" w:lineRule="auto"/>
        <w:contextualSpacing/>
        <w:rPr>
          <w:rFonts w:ascii="Arial" w:eastAsia="Calibri" w:hAnsi="Arial"/>
          <w:lang w:val="sr-Cyrl-RS"/>
        </w:rPr>
      </w:pPr>
      <w:r w:rsidRPr="001875BD">
        <w:rPr>
          <w:rFonts w:ascii="Arial" w:hAnsi="Arial"/>
          <w:b/>
          <w:iCs/>
        </w:rPr>
        <w:t xml:space="preserve">ОДГОВОР </w:t>
      </w:r>
      <w:r w:rsidRPr="001875BD">
        <w:rPr>
          <w:rFonts w:ascii="Arial" w:hAnsi="Arial"/>
          <w:b/>
          <w:iCs/>
          <w:lang w:val="sr-Cyrl-RS"/>
        </w:rPr>
        <w:t>3</w:t>
      </w:r>
      <w:r w:rsidRPr="001875BD">
        <w:rPr>
          <w:rFonts w:ascii="Arial" w:hAnsi="Arial"/>
          <w:b/>
          <w:iCs/>
        </w:rPr>
        <w:t xml:space="preserve">: </w:t>
      </w:r>
      <w:r w:rsidR="001875BD" w:rsidRPr="001875BD">
        <w:rPr>
          <w:rFonts w:ascii="Arial" w:eastAsia="Calibri" w:hAnsi="Arial"/>
          <w:lang w:val="sr-Cyrl-RS"/>
        </w:rPr>
        <w:t>Предмет јавне набавке су испитивања, а не контролисање и додатни услов за технички капацитет, везан за стандард по коме треба да буде акредитована лабораторија, усклађен је са предметом јавне набавке – испитивањима.</w:t>
      </w:r>
    </w:p>
    <w:p w:rsidR="001875BD" w:rsidRPr="001875BD" w:rsidRDefault="001875BD" w:rsidP="001875BD">
      <w:pPr>
        <w:spacing w:line="240" w:lineRule="auto"/>
        <w:contextualSpacing/>
        <w:rPr>
          <w:rFonts w:ascii="Arial" w:eastAsia="Calibri" w:hAnsi="Arial"/>
          <w:lang w:val="sr-Cyrl-RS"/>
        </w:rPr>
      </w:pPr>
      <w:r w:rsidRPr="001875BD">
        <w:rPr>
          <w:rFonts w:ascii="Arial" w:eastAsia="Calibri" w:hAnsi="Arial"/>
          <w:lang w:val="sr-Cyrl-RS"/>
        </w:rPr>
        <w:t>Испитивања у сврху контролисања, ради лабораторија произвођача опреме. Испитивања која су предмет јавне набавке, спроводе се у случајевима када је Планом контроле квалитета, за поједина испитивања, предвиђено и ангажовање лабораторије од стране Наручиоца, у циљу провере резултата испитивања спроведених од стране лабораторије произвођача или, мимо плана контроле квалитета, у случајевима када Наручилац, из било ког разлога, посумња у веродостојност резултата појединих испитивања спроведених од стране лабораторије произвођача опреме. Врсте и обим оваквих испитивања одређује Наручилац. У складу са претходним појашњењем, Наручилац ће изменити тачку 3.1 Конкурсне документације у делу „Обавезе изабраног понуђача везане за тачку 2 из одељка „Опис услуге“ – Фабричке контроле у земљи и иностранству, у току производње опреме за постројења на ТЕНТ А“.</w:t>
      </w:r>
    </w:p>
    <w:p w:rsidR="001875BD" w:rsidRPr="001875BD" w:rsidRDefault="001875BD" w:rsidP="001875BD">
      <w:pPr>
        <w:spacing w:line="240" w:lineRule="auto"/>
        <w:contextualSpacing/>
        <w:rPr>
          <w:rFonts w:ascii="Arial" w:eastAsia="Calibri" w:hAnsi="Arial"/>
          <w:lang w:val="sr-Cyrl-RS"/>
        </w:rPr>
      </w:pPr>
      <w:r w:rsidRPr="001875BD">
        <w:rPr>
          <w:rFonts w:ascii="Arial" w:eastAsia="Calibri" w:hAnsi="Arial"/>
          <w:lang w:val="sr-Cyrl-RS"/>
        </w:rPr>
        <w:t>Заинтересовано лице је очигледно термин „фабричка контрола“, који не значи ништа друго до спровођења испитивања у фабрици произвођача опреме, поистоветило са пословима контролисања. Испитивања која су предмет јавне набавке, не спроводе се у сврху контролисања у смислу стандарда SRPS ISO/IEC 17020 и понављање комплетних испитивања, спроведених од стране лабораторије произвођача опреме, не би било ни сврсисходно.</w:t>
      </w:r>
    </w:p>
    <w:p w:rsidR="001875BD" w:rsidRPr="001875BD" w:rsidRDefault="001875BD" w:rsidP="001875BD">
      <w:pPr>
        <w:spacing w:line="240" w:lineRule="auto"/>
        <w:contextualSpacing/>
        <w:rPr>
          <w:rFonts w:ascii="Arial" w:eastAsia="Calibri" w:hAnsi="Arial"/>
          <w:lang w:val="sr-Cyrl-RS"/>
        </w:rPr>
      </w:pPr>
      <w:r w:rsidRPr="001875BD">
        <w:rPr>
          <w:rFonts w:ascii="Arial" w:eastAsia="Calibri" w:hAnsi="Arial"/>
          <w:lang w:val="sr-Cyrl-RS"/>
        </w:rPr>
        <w:t>Коментар заинтересованог лица: „Такође због могућности сукоба инереса, организација која врши контролисања/испитивања за Испоручиоца опреме не сме да буде укључена у контролисање/испитивање исте опреме за Наручиоца“ није јасан и у каквој је вези са предметном јавном набавком. Наручилац подсећа заинтересовано лице да је за предметну јавну набавку покренут отворени поступак јавне набавке и да понуде могу поднети сви понуђачи који испуњавају услове из конкурсне документације.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823373" w:rsidRPr="00B05CF7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B05CF7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02" w:rsidRDefault="00405702" w:rsidP="004A61DF">
      <w:pPr>
        <w:spacing w:line="240" w:lineRule="auto"/>
      </w:pPr>
      <w:r>
        <w:separator/>
      </w:r>
    </w:p>
  </w:endnote>
  <w:endnote w:type="continuationSeparator" w:id="0">
    <w:p w:rsidR="00405702" w:rsidRDefault="004057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1E9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1E9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02" w:rsidRDefault="00405702" w:rsidP="004A61DF">
      <w:pPr>
        <w:spacing w:line="240" w:lineRule="auto"/>
      </w:pPr>
      <w:r>
        <w:separator/>
      </w:r>
    </w:p>
  </w:footnote>
  <w:footnote w:type="continuationSeparator" w:id="0">
    <w:p w:rsidR="00405702" w:rsidRDefault="004057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1E9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1E9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D5199F"/>
    <w:multiLevelType w:val="hybridMultilevel"/>
    <w:tmpl w:val="11CABB7A"/>
    <w:lvl w:ilvl="0" w:tplc="BB60D0A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00DB"/>
    <w:multiLevelType w:val="hybridMultilevel"/>
    <w:tmpl w:val="214E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75BD"/>
    <w:rsid w:val="001D31EB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796E"/>
    <w:rsid w:val="003640D5"/>
    <w:rsid w:val="003E1E97"/>
    <w:rsid w:val="003F2BEA"/>
    <w:rsid w:val="003F320E"/>
    <w:rsid w:val="004052DE"/>
    <w:rsid w:val="0040570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18FA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053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3AEF"/>
    <w:rsid w:val="009F4C4B"/>
    <w:rsid w:val="00A20DDE"/>
    <w:rsid w:val="00A51CB8"/>
    <w:rsid w:val="00A65058"/>
    <w:rsid w:val="00A70CB7"/>
    <w:rsid w:val="00A9334D"/>
    <w:rsid w:val="00A9548A"/>
    <w:rsid w:val="00AA54F2"/>
    <w:rsid w:val="00AB3121"/>
    <w:rsid w:val="00AF4BC3"/>
    <w:rsid w:val="00B05CF7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2754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2754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A7AD4"/>
    <w:rsid w:val="00B27544"/>
    <w:rsid w:val="00C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2015-01-14T12:21:00Z</cp:lastPrinted>
  <dcterms:created xsi:type="dcterms:W3CDTF">2019-03-11T13:34:00Z</dcterms:created>
  <dcterms:modified xsi:type="dcterms:W3CDTF">2019-03-12T10:03:00Z</dcterms:modified>
</cp:coreProperties>
</file>